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line="276"/>
        <w:jc w:val="center"/>
      </w:pPr>
      <w:r>
        <w:rPr>
          <w:b/>
          <w:bCs/>
          <w:sz w:val="30"/>
          <w:szCs w:val="30"/>
        </w:rPr>
        <w:t>АГЕНТСКИЙ ДОГОВОР-ОФЕРТА</w:t>
      </w:r>
      <w:r>
        <w:rPr>
          <w:b/>
          <w:bCs/>
          <w:sz w:val="30"/>
          <w:szCs w:val="30"/>
        </w:rPr>
      </w:r>
    </w:p>
    <w:p>
      <w:pPr>
        <w:spacing w:after="100" w:line="276"/>
        <w:jc w:val="center"/>
      </w:pPr>
      <w:r>
        <w:rPr>
          <w:b/>
          <w:bCs/>
          <w:sz w:val="24"/>
          <w:szCs w:val="24"/>
        </w:rPr>
        <w:t xml:space="preserve">о привлечении пользователей и бронировании спортивных площадок</w:t>
      </w:r>
    </w:p>
    <w:p>
      <w:pPr>
        <w:spacing w:after="0" w:line="240"/>
      </w:pP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60"/>
              <w:left w:type="dxa" w:w="120"/>
              <w:bottom w:type="dxa" w:w="60"/>
              <w:right w:type="dxa" w:w="120"/>
            </w:tcMar>
            <w:vAlign w:val="top"/>
          </w:tcPr>
          <w:p>
            <w:pPr>
              <w:spacing w:after="20" w:line="252"/>
              <w:jc w:val="left"/>
            </w:pPr>
            <w:r>
              <w:t xml:space="preserve">г. Санкт-Петербург</w:t>
            </w:r>
          </w:p>
        </w:tc>
        <w:tc>
          <w:tcPr>
            <w:tcW w:type="dxa" w:w="4513"/>
            <w:tcBorders>
              <w:top w:val="none" w:color="FFFFFF" w:sz="0"/>
              <w:left w:val="none" w:color="FFFFFF" w:sz="0"/>
              <w:bottom w:val="none" w:color="FFFFFF" w:sz="0"/>
              <w:right w:val="none" w:color="FFFFFF" w:sz="0"/>
            </w:tcBorders>
            <w:tcMar>
              <w:top w:type="dxa" w:w="60"/>
              <w:left w:type="dxa" w:w="120"/>
              <w:bottom w:type="dxa" w:w="60"/>
              <w:right w:type="dxa" w:w="120"/>
            </w:tcMar>
            <w:vAlign w:val="top"/>
          </w:tcPr>
          <w:p>
            <w:pPr>
              <w:spacing w:after="20" w:line="252"/>
              <w:jc w:val="right"/>
            </w:pPr>
            <w:r>
              <w:t>Редакция от «20» июля 2026 г.</w:t>
            </w:r>
            <w:r>
              <w:rPr/>
            </w:r>
            <w:r/>
            <w:r>
              <w:rPr/>
            </w:r>
            <w:r/>
          </w:p>
        </w:tc>
      </w:tr>
    </w:tbl>
    <w:p>
      <w:pPr>
        <w:spacing w:after="0" w:line="240"/>
      </w:pPr>
    </w:p>
    <w:p>
      <w:pPr>
        <w:spacing w:after="120" w:line="276"/>
        <w:jc w:val="both"/>
      </w:pPr>
      <w:r>
        <w:rPr>
          <w:b/>
          <w:bCs/>
        </w:rPr>
        <w:t>Общество с ограниченной ответственностью «СМАРТ СПОРТ СИСТЕМЫ» (ООО «СМАРТ СПОРТ СИСТЕМЫ»), ОГРН 1267800040573, ИНН 7804721125, адрес: 194064, г. Санкт-Петербург, вн.тер.г. муниципальный округ Академическое, пр-кт Тихорецкий, д. 15, корп. 1, литера А, в лице генерального директора Сиверцева С. В., действующего на основании Устава, именуемое в дальнейшем «Агент» (также — «Playground»), настоящим предлагает юридическим лицам и индивидуальным предпринимателям заключить агентский договор о привлечении пользователей и бронировании спортивных площадок на изложенных ниже условиях (далее — «Оферта», «Договор»). Лицо, акцептовавшее Оферту в порядке раздела 2 Договора, именуется «Принципал» (также — «Площадка»); Агент и Принципал совместно именуются «Стороны».</w:t>
      </w:r>
      <w:r/>
      <w:r>
        <w:rPr>
          <w:b/>
          <w:bCs/>
        </w:rPr>
      </w:r>
      <w:r/>
      <w:r>
        <w:rPr>
          <w:b/>
          <w:bCs/>
        </w:rPr>
      </w:r>
      <w:r>
        <w:rPr/>
      </w:r>
      <w:r>
        <w:rPr>
          <w:b/>
          <w:bCs/>
        </w:rPr>
      </w:r>
      <w:r/>
      <w:r>
        <w:rPr/>
      </w:r>
      <w:r/>
      <w:r>
        <w:rPr/>
      </w:r>
      <w:r/>
      <w:r>
        <w:rPr/>
      </w:r>
      <w:r/>
      <w:r>
        <w:rPr>
          <w:b/>
          <w:bCs/>
        </w:rPr>
      </w:r>
      <w:r/>
      <w:r>
        <w:rPr/>
      </w:r>
      <w:r/>
      <w:r>
        <w:rPr/>
      </w:r>
      <w:r/>
    </w:p>
    <w:p>
      <w:pPr>
        <w:spacing w:after="120" w:before="240" w:line="276"/>
      </w:pPr>
      <w:r>
        <w:rPr>
          <w:b/>
          <w:bCs/>
        </w:rPr>
        <w:t xml:space="preserve">1. ТЕРМИНЫ И ОПРЕДЕЛЕНИЯ</w:t>
      </w:r>
    </w:p>
    <w:p>
      <w:pPr>
        <w:spacing w:after="120" w:line="276"/>
        <w:jc w:val="both"/>
      </w:pPr>
      <w:r>
        <w:rPr>
          <w:b/>
          <w:bCs/>
        </w:rPr>
        <w:t xml:space="preserve">Платформа</w:t>
      </w:r>
      <w:r>
        <w:t xml:space="preserve"> — программно-аппаратный комплекс Playground (мобильные приложения и веб-кабинеты), включая ИИ-агента, посредством которого осуществляется привлечение Пользователей, формирование и сопровождение Бронирований.</w:t>
      </w:r>
    </w:p>
    <w:p>
      <w:pPr>
        <w:spacing w:after="120" w:line="276"/>
        <w:jc w:val="both"/>
      </w:pPr>
      <w:r>
        <w:rPr>
          <w:b/>
          <w:bCs/>
        </w:rPr>
        <w:t xml:space="preserve">Пользователь (Игрок)</w:t>
      </w:r>
      <w:r>
        <w:t xml:space="preserve"> — физическое лицо, использующее Платформу для поиска игр и бронирования Слотов.</w:t>
      </w:r>
    </w:p>
    <w:p>
      <w:pPr>
        <w:spacing w:after="120" w:line="276"/>
        <w:jc w:val="both"/>
      </w:pPr>
      <w:r>
        <w:rPr>
          <w:b/>
          <w:bCs/>
        </w:rPr>
        <w:t xml:space="preserve">Объект (Площадка)</w:t>
      </w:r>
      <w:r>
        <w:t xml:space="preserve"> — спортивный объект Принципала (поле, зал, корт и иное), размещённый на Платформе.</w:t>
      </w:r>
    </w:p>
    <w:p>
      <w:pPr>
        <w:spacing w:after="120" w:line="276"/>
        <w:jc w:val="both"/>
      </w:pPr>
      <w:r>
        <w:rPr>
          <w:b/>
          <w:bCs/>
        </w:rPr>
        <w:t xml:space="preserve">Слот</w:t>
      </w:r>
      <w:r>
        <w:t xml:space="preserve"> — определённый временной интервал использования Объекта, доступный для Бронирования.</w:t>
      </w:r>
    </w:p>
    <w:p>
      <w:pPr>
        <w:spacing w:after="120" w:line="276"/>
        <w:jc w:val="both"/>
      </w:pPr>
      <w:r>
        <w:rPr>
          <w:b/>
          <w:bCs/>
        </w:rPr>
        <w:t xml:space="preserve">Стоимость Слота</w:t>
      </w:r>
      <w:r>
        <w:t xml:space="preserve"> — цена использования Слота, установленная Принципалом и размещённая на Платформе.</w:t>
      </w:r>
    </w:p>
    <w:p>
      <w:pPr>
        <w:spacing w:after="120" w:line="276"/>
        <w:jc w:val="both"/>
      </w:pPr>
      <w:r>
        <w:rPr>
          <w:b/>
          <w:bCs/>
        </w:rPr>
        <w:t xml:space="preserve">Бронирование</w:t>
      </w:r>
      <w:r>
        <w:t xml:space="preserve"> — заявка Пользователя (или группы Пользователей) на Слот, сформированная через Платформу.</w:t>
      </w:r>
    </w:p>
    <w:p>
      <w:pPr>
        <w:spacing w:after="120" w:line="276"/>
        <w:jc w:val="both"/>
      </w:pPr>
      <w:r>
        <w:rPr>
          <w:b/>
          <w:bCs/>
        </w:rPr>
        <w:t xml:space="preserve">Подтверждённое Бронирование</w:t>
      </w:r>
      <w:r>
        <w:t xml:space="preserve"> — Бронирование, по которому к установленному Платформой сроку Принципалу поступила оплата Слота — полная Стоимость Слота либо предоплата в размере, установленном Принципалом (независимо от числа плательщиков), — факт поступления которой зафиксирован Платформой, и которое не отменено по Правилам отмены. По каждому Подтверждённому Бронированию начисляется Агентское вознаграждение. Основанием для учёта являются данные Платформы. Бронирования, оплата по которым принята Принципалом вне Платформы (в том числе наличными) и Платформой не зафиксирована, Подтверждёнными не являются и Агентским вознаграждением не облагаются.</w:t>
      </w:r>
    </w:p>
    <w:p>
      <w:pPr>
        <w:spacing w:after="120" w:line="276"/>
        <w:jc w:val="both"/>
      </w:pPr>
      <w:r>
        <w:rPr>
          <w:b/>
          <w:bCs/>
        </w:rPr>
        <w:t xml:space="preserve">Агентское вознаграждение</w:t>
      </w:r>
      <w:r>
        <w:t xml:space="preserve"> — вознаграждение Агента в размере, установленном Приложением № 1, за каждое Подтверждённое Бронирование.</w:t>
      </w:r>
    </w:p>
    <w:p>
      <w:pPr>
        <w:spacing w:after="120" w:line="276"/>
        <w:jc w:val="both"/>
      </w:pPr>
      <w:r>
        <w:rPr>
          <w:b/>
          <w:bCs/>
        </w:rPr>
        <w:t xml:space="preserve">Личный кабинет</w:t>
      </w:r>
      <w:r>
        <w:t xml:space="preserve"> — раздел Платформы для управления Объектами и Слотами, просмотра Бронирований, отчётов и сверки Принципала.</w:t>
      </w:r>
    </w:p>
    <w:p>
      <w:pPr>
        <w:spacing w:after="120" w:line="276"/>
        <w:jc w:val="both"/>
      </w:pPr>
      <w:r>
        <w:rPr>
          <w:b/>
          <w:bCs/>
        </w:rPr>
        <w:t xml:space="preserve">Правила отмены</w:t>
      </w:r>
      <w:r>
        <w:t xml:space="preserve"> — условия отмены и переноса Бронирований и возврата оплаты Пользователю, размещённые на Платформе.</w:t>
      </w:r>
    </w:p>
    <w:p>
      <w:pPr>
        <w:spacing w:after="120" w:line="276"/>
        <w:jc w:val="both"/>
      </w:pPr>
      <w:r>
        <w:rPr>
          <w:b/>
          <w:bCs/>
        </w:rPr>
        <w:t xml:space="preserve">Отчётный период</w:t>
      </w:r>
      <w:r>
        <w:t xml:space="preserve"> — календарный месяц.</w:t>
      </w:r>
    </w:p>
    <w:p>
      <w:r>
        <w:rPr>
          <w:b/>
        </w:rPr>
        <w:t>2. ЗАКЛЮЧЕНИЕ ДОГОВОРА (АКЦЕПТ ОФЕРТЫ)</w:t>
      </w:r>
    </w:p>
    <w:p>
      <w:pPr>
        <w:jc w:val="both"/>
      </w:pPr>
      <w:r>
        <w:rPr>
          <w:b w:val="0"/>
        </w:rPr>
        <w:t>2.1. Настоящий документ является офертой Агента, адресованной исключительно юридическим лицам и индивидуальным предпринимателям, правомерно владеющим спортивными объектами или иным образом законно ими распоряжающимся. Оферта не является публичной офертой по смыслу пункта 2 статьи 437 ГК РФ. Действующая редакция Оферты размещается на сайте Агента playgroundpro.ru (далее — «Сайт») и доступна в Личном кабинете.</w:t>
      </w:r>
    </w:p>
    <w:p>
      <w:pPr>
        <w:jc w:val="both"/>
      </w:pPr>
      <w:r>
        <w:rPr>
          <w:b w:val="0"/>
        </w:rPr>
        <w:t>2.2. Акцептом Оферты является совершение лицом совокупности действий: регистрация Личного кабинета, указание достоверных сведений о Принципале (наименование, ОГРН/ОГРНИП, ИНН, адрес, банковские реквизиты, адрес электронной почты) и нажатие в Личном кабинете кнопки «Принимаю условия Договора» (или аналогичной по смыслу). Акцепт является полным и безоговорочным принятием условий Оферты (ст. 438 ГК РФ).</w:t>
      </w:r>
    </w:p>
    <w:p>
      <w:pPr>
        <w:jc w:val="both"/>
      </w:pPr>
      <w:r>
        <w:rPr>
          <w:b w:val="0"/>
        </w:rPr>
        <w:t>2.3. Договор считается заключённым с момента акцепта. Момент акцепта фиксируется Платформой (дата, время, идентификатор Принципала, редакция Оферты). Стороны признают запись Платформы об акцепте, данные Личного кабинета и направляемые уведомления надлежащими и достаточными доказательствами факта, момента и условий заключения Договора.</w:t>
      </w:r>
    </w:p>
    <w:p>
      <w:pPr>
        <w:jc w:val="both"/>
      </w:pPr>
      <w:r>
        <w:rPr>
          <w:b w:val="0"/>
        </w:rPr>
        <w:t>2.4. Лицо, совершающее акцепт, подтверждает, что действует в качестве уполномоченного представителя Принципала и что указанные сведения достоверны. Сведения о Принципале, указанные в Личном кабинете, являются реквизитами Принципала и неотъемлемой частью Договора; Принципал обязан поддерживать их актуальность.</w:t>
      </w:r>
    </w:p>
    <w:p>
      <w:pPr>
        <w:jc w:val="both"/>
      </w:pPr>
      <w:r>
        <w:rPr>
          <w:b w:val="0"/>
        </w:rPr>
        <w:t>2.5. Агент вправе изменять Оферту. Новая редакция размещается на Сайте; для Принципалов, акцептовавших Оферту ранее, изменения вступают в силу по истечении 15 (пятнадцати) календарных дней после размещения новой редакции и уведомления через Личный кабинет, за исключением размера Агентского вознаграждения, изменение которого возможно только в порядке п. 12.2 Договора. Принципал, не согласный с изменениями, вправе отказаться от Договора в порядке п. 12.3 Договора.</w:t>
      </w:r>
    </w:p>
    <w:p>
      <w:pPr>
        <w:jc w:val="both"/>
      </w:pPr>
      <w:r>
        <w:rPr>
          <w:b w:val="0"/>
        </w:rPr>
        <w:t>2.6. Предоставление недостоверных сведений при акцепте является существенным нарушением Договора и основанием для немедленного одностороннего отказа Агента от Договора (п. 12.3), а также для ограничения доступа и снятия Объектов с публикации (п. 4.2.4).</w:t>
      </w:r>
    </w:p>
    <w:p>
      <w:pPr>
        <w:spacing w:after="120" w:before="240" w:line="276"/>
      </w:pPr>
      <w:r>
        <w:rPr>
          <w:b/>
          <w:bCs/>
        </w:rPr>
        <w:t>3. ПРЕДМЕТ ДОГОВОРА</w:t>
      </w:r>
    </w:p>
    <w:p>
      <w:pPr>
        <w:spacing w:after="120" w:line="276"/>
        <w:jc w:val="both"/>
      </w:pPr>
      <w:r>
        <w:t>3.1. Принципал поручает, а Агент обязуется за вознаграждение совершать от имени и за счёт Принципала юридические и иные действия, направленные на:</w:t>
      </w:r>
    </w:p>
    <w:p>
      <w:pPr>
        <w:spacing w:after="120" w:line="276"/>
        <w:jc w:val="both"/>
      </w:pPr>
      <w:r>
        <w:t>3.1.1. привлечение Пользователей и предоставление им через Платформу доступа к сведениям об Объектах и Слотах Принципала;</w:t>
      </w:r>
    </w:p>
    <w:p>
      <w:pPr>
        <w:spacing w:after="120" w:line="276"/>
        <w:jc w:val="both"/>
      </w:pPr>
      <w:r>
        <w:t>3.1.2. формирование и обработку Бронирований Слотов через Платформу;</w:t>
      </w:r>
    </w:p>
    <w:p>
      <w:pPr>
        <w:spacing w:after="120" w:line="276"/>
        <w:jc w:val="both"/>
      </w:pPr>
      <w:r>
        <w:t>3.1.3. передачу Бронирований Принципалу и сверку поступления оплаты; при этом оплату Стоимости Слотов Пользователи вносят непосредственно Принципалу (раздел 6), а Агент в приёме денежных средств не участвует;</w:t>
      </w:r>
    </w:p>
    <w:p>
      <w:pPr>
        <w:spacing w:after="120" w:line="276"/>
        <w:jc w:val="both"/>
      </w:pPr>
      <w:r>
        <w:t>3.1.4. информационное и организационное сопровождение Бронирований (напоминания, подбор замен, поддержка Пользователей) средствами Платформы, в том числе ИИ-агента.</w:t>
      </w:r>
    </w:p>
    <w:p>
      <w:pPr>
        <w:spacing w:after="120" w:line="276"/>
        <w:jc w:val="both"/>
      </w:pPr>
      <w:r>
        <w:t>3.2. К отношениям Сторон применяются правила главы 52 ГК РФ об агентировании, если иное не предусмотрено Договором.</w:t>
      </w:r>
    </w:p>
    <w:p>
      <w:pPr>
        <w:spacing w:after="120" w:line="276"/>
        <w:jc w:val="both"/>
      </w:pPr>
      <w:r>
        <w:t>3.3. Агент не оказывает услуг в области физической культуры и спорта, не предоставляет Объекты в пользование и не является организатором игр или иных мероприятий. Услуги по предоставлению Объекта оказываются непосредственно Принципалом Пользователю; прямые правовые отношения по поводу использования Объекта возникают между Принципалом и Пользователем.</w:t>
      </w:r>
    </w:p>
    <w:p>
      <w:pPr>
        <w:spacing w:after="120" w:line="276"/>
        <w:jc w:val="both"/>
      </w:pPr>
      <w:r>
        <w:t>3.4. Заключение Договора не влечёт передачи Принципалу каких-либо прав на Платформу, её компоненты и программное обеспечение Агента.</w:t>
      </w:r>
    </w:p>
    <w:p>
      <w:pPr>
        <w:spacing w:after="120" w:line="276"/>
        <w:jc w:val="both"/>
      </w:pPr>
      <w:r>
        <w:t>3.5. Агент вправе привлекать к исполнению третьих лиц (субагентов, технических подрядчиков и др.), оставаясь ответственным за их действия перед Принципалом.</w:t>
      </w:r>
    </w:p>
    <w:p>
      <w:pPr>
        <w:spacing w:after="120" w:line="276"/>
        <w:jc w:val="both"/>
      </w:pPr>
      <w:r>
        <w:t>3.6. Расходы Агента, связанные с созданием, эксплуатацией, поддержкой и продвижением Платформы, Агент несёт самостоятельно; такие расходы включены в Агентское вознаграждение и отдельному возмещению Принципалом не подлежат. Положения ст. 1001 и 1011 ГК РФ о возмещении расходов агента применяются с учётом настоящего пункта.</w:t>
      </w:r>
    </w:p>
    <w:p>
      <w:pPr>
        <w:spacing w:after="120" w:before="240" w:line="276"/>
      </w:pPr>
      <w:r>
        <w:rPr>
          <w:b/>
          <w:bCs/>
        </w:rPr>
        <w:t>4. ПРАВА И ОБЯЗАННОСТИ СТОРОН</w:t>
      </w:r>
    </w:p>
    <w:p>
      <w:pPr>
        <w:spacing w:after="120" w:line="276"/>
        <w:jc w:val="both"/>
      </w:pPr>
      <w:r>
        <w:t>4.1. Агент обязуется:</w:t>
      </w:r>
    </w:p>
    <w:p>
      <w:pPr>
        <w:spacing w:after="120" w:line="276"/>
        <w:jc w:val="both"/>
      </w:pPr>
      <w:r>
        <w:t>4.1.1. предоставить Принципалу доступ в Личный кабинет;</w:t>
      </w:r>
    </w:p>
    <w:p>
      <w:pPr>
        <w:spacing w:after="120" w:line="276"/>
        <w:jc w:val="both"/>
      </w:pPr>
      <w:r>
        <w:t>4.1.2. обеспечивать функционирование Платформы, формирование Бронирований и сверку их оплаты;</w:t>
      </w:r>
    </w:p>
    <w:p>
      <w:pPr>
        <w:spacing w:after="120" w:line="276"/>
        <w:jc w:val="both"/>
      </w:pPr>
      <w:r>
        <w:t>4.1.3. передавать Принципалу Бронирования и сведения о статусе их оплаты по данным Платформы;</w:t>
      </w:r>
    </w:p>
    <w:p>
      <w:pPr>
        <w:spacing w:after="120" w:line="276"/>
        <w:jc w:val="both"/>
      </w:pPr>
      <w:r>
        <w:t>4.1.4. предоставлять Принципалу Отчёт агента и детализацию Подтверждённых Бронирований (раздел 7);</w:t>
      </w:r>
    </w:p>
    <w:p>
      <w:pPr>
        <w:spacing w:after="120" w:line="276"/>
        <w:jc w:val="both"/>
      </w:pPr>
      <w:r>
        <w:t>4.1.5. обрабатывать персональные данные Пользователей в пределах, установленных разделом 9;</w:t>
      </w:r>
    </w:p>
    <w:p>
      <w:pPr>
        <w:spacing w:after="120" w:line="276"/>
        <w:jc w:val="both"/>
      </w:pPr>
      <w:r>
        <w:t>4.1.6. уведомлять Принципала о сбоях и плановых работах, существенно влияющих на доступность Платформы.</w:t>
      </w:r>
    </w:p>
    <w:p>
      <w:pPr>
        <w:spacing w:after="120" w:line="276"/>
        <w:jc w:val="both"/>
      </w:pPr>
      <w:r>
        <w:t>4.2. Агент вправе:</w:t>
      </w:r>
    </w:p>
    <w:p>
      <w:pPr>
        <w:spacing w:after="120" w:line="276"/>
        <w:jc w:val="both"/>
      </w:pPr>
      <w:r>
        <w:t>4.2.1. определять и изменять функциональность, интерфейс и технические параметры Платформы;</w:t>
      </w:r>
    </w:p>
    <w:p>
      <w:pPr>
        <w:spacing w:after="120" w:line="276"/>
        <w:jc w:val="both"/>
      </w:pPr>
      <w:r>
        <w:t>4.2.2. устанавливать и применять Правила отмены, лимиты и меры противодействия мошенничеству, в том числе срок на оплату Бронирования;</w:t>
      </w:r>
    </w:p>
    <w:p>
      <w:pPr>
        <w:spacing w:after="120" w:line="276"/>
        <w:jc w:val="both"/>
      </w:pPr>
      <w:r>
        <w:t>4.2.3. размещать на Платформе и в маркетинговых материалах сведения об Объектах Принципала и о факте сотрудничества Сторон;</w:t>
      </w:r>
    </w:p>
    <w:p>
      <w:pPr>
        <w:spacing w:after="120" w:line="276"/>
        <w:jc w:val="both"/>
      </w:pPr>
      <w:r>
        <w:t>4.2.4. при нарушении Принципалом Договора, поступлении обоснованных жалоб Пользователей или признаках недостоверности данных — временно ограничить доступ Принципала и (или) снять Объект с публикации, уведомив Принципала;</w:t>
      </w:r>
    </w:p>
    <w:p>
      <w:pPr>
        <w:spacing w:after="120" w:line="276"/>
        <w:jc w:val="both"/>
      </w:pPr>
      <w:r>
        <w:t>4.2.5. использовать в целях исполнения Договора и продвижения Платформы наименование, коммерческое обозначение, товарный знак (при наличии) и изображения (фотографии) Объектов Принципала; для указанных целей Принципал предоставляет Агенту на срок действия Договора безвозмездную неисключительную лицензию с правом использования на территории Российской Федерации, в том числе на Платформе, в информационных и рекламных материалах Агента.</w:t>
      </w:r>
    </w:p>
    <w:p>
      <w:pPr>
        <w:spacing w:after="120" w:line="276"/>
        <w:jc w:val="both"/>
      </w:pPr>
      <w:r>
        <w:t>4.3. Принципал обязуется:</w:t>
      </w:r>
    </w:p>
    <w:p>
      <w:pPr>
        <w:spacing w:after="120" w:line="276"/>
        <w:jc w:val="both"/>
      </w:pPr>
      <w:r>
        <w:t>4.3.1. предоставлять достоверные сведения об Объектах, Слотах, их доступности и Стоимости и поддерживать их в актуальном состоянии в Личном кабинете;</w:t>
      </w:r>
    </w:p>
    <w:p>
      <w:pPr>
        <w:spacing w:after="120" w:line="276"/>
        <w:jc w:val="both"/>
      </w:pPr>
      <w:r>
        <w:t>4.3.2. обеспечивать фактическую возможность использования забронированных Слотов;</w:t>
      </w:r>
    </w:p>
    <w:p>
      <w:pPr>
        <w:spacing w:after="120" w:line="276"/>
        <w:jc w:val="both"/>
      </w:pPr>
      <w:r>
        <w:t>4.3.3. обеспечивать надлежащее техническое и санитарное состояние Объекта, его безопасность, а также наличие необходимых разрешений (раздел 8);</w:t>
      </w:r>
    </w:p>
    <w:p>
      <w:pPr>
        <w:spacing w:after="120" w:line="276"/>
        <w:jc w:val="both"/>
      </w:pPr>
      <w:r>
        <w:t>4.3.4. принимать оплату Стоимости Слотов от Пользователей своими средствами (эквайринг, СБП, касса), обеспечивать применение контрольно-кассовой техники (54-ФЗ) и возврат оплаты Пользователям при отмене и аннулировании Бронирований (раздел 6);</w:t>
      </w:r>
    </w:p>
    <w:p>
      <w:pPr>
        <w:spacing w:after="120" w:line="276"/>
        <w:jc w:val="both"/>
      </w:pPr>
      <w:r>
        <w:t>4.3.5. своевременно подтверждать и закрывать Бронирования, рассматривать претензии Пользователей по качеству и безопасности Объекта и взаимодействовать по установленным каналам связи;</w:t>
      </w:r>
    </w:p>
    <w:p>
      <w:pPr>
        <w:spacing w:after="120" w:line="276"/>
        <w:jc w:val="both"/>
      </w:pPr>
      <w:r>
        <w:t>4.3.6. в период действия Договора и в течение 12 (двенадцати) месяцев после его прекращения не совершать действий, направленных на оформление в обход Платформы повторных бронирований Пользователями, привлечёнными через Платформу, в том числе не использовать полученные через Платформу контактные данные Пользователей для предложения им прямого бронирования и не побуждать таких Пользователей к отказу от использования Платформы;</w:t>
      </w:r>
    </w:p>
    <w:p>
      <w:pPr>
        <w:spacing w:after="120" w:line="276"/>
        <w:jc w:val="both"/>
      </w:pPr>
      <w:r>
        <w:t>4.4. Принципал вправе получать сведения о Бронированиях и отчёты Агента, запрашивать детализацию и сверку, а также самостоятельно устанавливать и изменять Стоимость Слотов.</w:t>
      </w:r>
    </w:p>
    <w:p>
      <w:pPr>
        <w:spacing w:after="120" w:before="240" w:line="276"/>
      </w:pPr>
      <w:r>
        <w:rPr>
          <w:b/>
          <w:bCs/>
        </w:rPr>
        <w:t>5. ПОРЯДОК ВЗАИМОДЕЙСТВИЯ И БРОНИРОВАНИЯ</w:t>
      </w:r>
    </w:p>
    <w:p>
      <w:pPr>
        <w:spacing w:after="120" w:line="276"/>
        <w:jc w:val="both"/>
      </w:pPr>
      <w:r>
        <w:t>5.1. Принципал размещает Объекты и Слоты в Личном кабинете. Пользователь оформляет Бронирование через Платформу и вносит оплату Стоимости Слота Принципалу в порядке раздела 6.</w:t>
      </w:r>
    </w:p>
    <w:p>
      <w:pPr>
        <w:spacing w:after="120" w:line="276"/>
        <w:jc w:val="both"/>
      </w:pPr>
      <w:r>
        <w:t>5.2. После оформления Бронирования Агент фиксирует его, присваивает статус и уникальный идентификатор и уведомляет Принципала через Личный кабинет и (или) установленные каналы связи.</w:t>
      </w:r>
    </w:p>
    <w:p>
      <w:pPr>
        <w:spacing w:after="120" w:line="276"/>
        <w:jc w:val="both"/>
      </w:pPr>
      <w:r>
        <w:t>5.3. Оплата Стоимости Слота может вноситься несколькими Пользователями по частям либо одним лицом за нескольких. Бронирование считается Подтверждённым при поступлении Принципалу оплаты Слота (полной Стоимости Слота либо предоплаты в установленном Принципалом размере), зафиксированной Платформой, к установленному Платформой сроку, независимо от числа плательщиков.</w:t>
      </w:r>
    </w:p>
    <w:p>
      <w:pPr>
        <w:spacing w:after="120" w:line="276"/>
        <w:jc w:val="both"/>
      </w:pPr>
      <w:r>
        <w:t>5.4. Если к установленному сроку оплата Слота Принципалу не поступила, Бронирование аннулируется, а внесённые Пользователями оплаты возвращаются Принципалом.</w:t>
      </w:r>
    </w:p>
    <w:p>
      <w:pPr>
        <w:spacing w:after="120" w:line="276"/>
        <w:jc w:val="both"/>
      </w:pPr>
      <w:r>
        <w:t>5.5. Единственным источником данных для определения количества Подтверждённых Бронирований и расчёта Агентского вознаграждения являются сведения Платформы. При мотивированном несогласии с данными по конкретному Бронированию Принципал направляет возражение в течение 3 (трёх) рабочих дней с момента его фиксации Платформой; Стороны проводят сверку. Итоговая приёмка Отчёта агента за Отчётный период и заявление возражений по нему осуществляются в порядке и в срок, предусмотренные п. 7.2; срок по настоящему пункту применяется к оперативным возражениям по отдельным Бронированиям и не заменяет срок по п. 7.2.</w:t>
      </w:r>
    </w:p>
    <w:p>
      <w:pPr>
        <w:spacing w:after="120" w:line="276"/>
        <w:jc w:val="both"/>
      </w:pPr>
      <w:r>
        <w:t>5.6. Отмена и перенос Бронирований и возврат оплаты Пользователю осуществляются по Правилам отмены; возврат проводит Принципал. Замена участника («спасти игру»): при замене Пользователя на оплаченном Слоте Бронирование сохраняет силу.</w:t>
      </w:r>
    </w:p>
    <w:p>
      <w:pPr>
        <w:spacing w:after="120" w:line="276"/>
        <w:jc w:val="both"/>
      </w:pPr>
      <w:r>
        <w:t>5.7. Агент не гарантирует определённый объём Бронирований и непрерывную бесперебойную доступность Платформы; Платформа предоставляется по принципу «как есть» (as is).</w:t>
      </w:r>
    </w:p>
    <w:p>
      <w:pPr>
        <w:spacing w:after="120" w:before="240" w:line="276"/>
      </w:pPr>
      <w:r>
        <w:rPr>
          <w:b/>
          <w:bCs/>
        </w:rPr>
        <w:t>6. ОПЛАТА, ПОДТВЕРЖДЕНИЕ БРОНИРОВАНИЙ И ВОЗНАГРАЖДЕНИЕ</w:t>
      </w:r>
    </w:p>
    <w:p>
      <w:pPr>
        <w:spacing w:after="120" w:line="276"/>
        <w:jc w:val="both"/>
      </w:pPr>
      <w:r>
        <w:t>6.1. Оплату Стоимости Слота принимает Принципал своими средствами (эквайринг, СБП, касса). Агент в приёме денежных средств не участвует и не является их получателем; денежные средства Пользователей через Агента не проходят. Сохранение платёжных данных Пользователей (привязка карты) и повторные, в том числе автоматические, списания обеспечивает Принципал через своего эквайера или платёжного провайдера; платёжные данные Пользователей у Агента не хранятся, а списания Агентом не инициируются.</w:t>
      </w:r>
    </w:p>
    <w:p>
      <w:pPr>
        <w:spacing w:after="120" w:line="276"/>
        <w:jc w:val="both"/>
      </w:pPr>
      <w:r>
        <w:t>6.2. Оплата может вноситься несколькими Пользователями по частям либо одним лицом за нескольких. Бронирование подтверждается по факту поступления Принципалу оплаты Слота — полной Стоимости Слота либо предоплаты в установленном Принципалом размере (независимо от числа плательщиков), — зафиксированного Платформой, к установленному Платформой сроку.</w:t>
      </w:r>
    </w:p>
    <w:p>
      <w:pPr>
        <w:spacing w:after="120" w:line="276"/>
        <w:jc w:val="both"/>
      </w:pPr>
      <w:r>
        <w:t>6.3. При непоступлении оплаты Слота к установленному сроку Бронирование аннулируется; внесённые Пользователями оплаты Принципал возвращает в полном объёме.</w:t>
      </w:r>
    </w:p>
    <w:p>
      <w:pPr>
        <w:spacing w:after="120" w:line="276"/>
        <w:jc w:val="both"/>
      </w:pPr>
      <w:r>
        <w:t>6.4. Агентское вознаграждение составляет 50 (пятьдесят) рублей за каждое Подтверждённое Бронирование (Приложение № 1), независимо от числа Пользователей и Стоимости Слота. Принципал выплачивает Агенту вознаграждение по итогам Отчётного периода в срок, установленный Приложением № 1.</w:t>
      </w:r>
    </w:p>
    <w:p>
      <w:pPr>
        <w:spacing w:after="120" w:line="276"/>
        <w:jc w:val="both"/>
      </w:pPr>
      <w:r>
        <w:t>6.5. Количество Подтверждённых Бронирований и сумма вознаграждения определяются по данным Платформы (п. 5.5) и (или) по интеграции Платформы с учётной системой Принципала.</w:t>
      </w:r>
    </w:p>
    <w:p>
      <w:pPr>
        <w:spacing w:after="120" w:line="276"/>
        <w:jc w:val="both"/>
      </w:pPr>
      <w:r>
        <w:t>6.6. Кассовые чеки (54-ФЗ). Применение контрольно-кассовой техники и выдачу Пользователям кассовых чеков в отношении оплаты Стоимости Слотов осуществляет Принципал. Агент оформляет документы только на сумму своего вознаграждения.</w:t>
      </w:r>
    </w:p>
    <w:p>
      <w:pPr>
        <w:spacing w:after="120" w:line="276"/>
        <w:jc w:val="both"/>
      </w:pPr>
      <w:r>
        <w:t>6.7. Возвраты Пользователям (по Правилам отмены, при аннулировании Бронирования, а также возвратные платежи — chargeback) проводит и несёт Принципал как получатель оплаты; Агента такие возвраты не затрагивают.</w:t>
      </w:r>
    </w:p>
    <w:p>
      <w:pPr>
        <w:spacing w:after="120" w:line="276"/>
        <w:jc w:val="both"/>
      </w:pPr>
      <w:r>
        <w:t>6.8. Налоги. Каждая Сторона самостоятельно исполняет налоговые обязанности. Агент применяет упрощённую систему налогообложения и на дату заключения Договора освобождён от обязанностей налогоплательщика НДС на основании ст. 145 НК РФ; в связи с этим Агентское вознаграждение НДС не облагается. Размер Агентского вознаграждения, указанный в Договоре и Приложении № 1, определён без учёта НДС. В случае утраты Агентом освобождения от НДС (в том числе при превышении установленного НК РФ порога дохода) Агент письменно уведомляет об этом Принципала, и с даты возникновения у Агента обязанности по уплате НДС сумма НДС по применимой ставке начисляется на Агентское вознаграждение и предъявляется Принципалу дополнительно к нему; настоящее условие не является изменением размера Агентского вознаграждения по смыслу п. 12.2 Договора. Принципал самостоятельно исчисляет и уплачивает налоги со Стоимости Слотов (своей выручки).</w:t>
      </w:r>
    </w:p>
    <w:p>
      <w:pPr>
        <w:spacing w:after="120" w:line="276"/>
        <w:jc w:val="both"/>
      </w:pPr>
      <w:r>
        <w:t>6.9. Об изменении банковских реквизитов Сторона уведомляет другую Сторону в течение 3 (трёх) рабочих дней. Документы должны содержать ссылку на номер и дату Договора.</w:t>
      </w:r>
    </w:p>
    <w:p>
      <w:pPr>
        <w:spacing w:after="120" w:before="240" w:line="276"/>
      </w:pPr>
      <w:r>
        <w:rPr>
          <w:b/>
          <w:bCs/>
        </w:rPr>
        <w:t>7. ОТЧЁТНОСТЬ И ЗАКРЫВАЮЩИЕ ДОКУМЕНТЫ</w:t>
      </w:r>
    </w:p>
    <w:p>
      <w:pPr>
        <w:spacing w:after="120" w:line="276"/>
        <w:jc w:val="both"/>
      </w:pPr>
      <w:r>
        <w:t>7.1. По итогам Отчётного периода Агент формирует и предоставляет Принципалу Отчёт агента (ст. 1008 ГК РФ) с детализацией (реестром) Подтверждённых Бронирований, содержащей: дату и время, наименование Объекта; идентификатор Бронирования на Платформе; Стоимость Слота; количество Подтверждённых Бронирований и сумму Агентского вознаграждения (50 руб. × количество).</w:t>
      </w:r>
    </w:p>
    <w:p>
      <w:pPr>
        <w:spacing w:after="120" w:line="276"/>
        <w:jc w:val="both"/>
      </w:pPr>
      <w:r>
        <w:t>7.2. Закрывающим документом является Акт об оказанных агентских услугах (или универсальный передаточный документ, УПД) на сумму Агентского вознаграждения. Принципал в течение 5 (пяти) рабочих дней подписывает документ либо направляет мотивированные возражения. При непредставлении возражений в указанный срок Отчёт и оказанные услуги считаются принятыми.</w:t>
      </w:r>
    </w:p>
    <w:p>
      <w:pPr>
        <w:spacing w:after="120" w:line="276"/>
        <w:jc w:val="both"/>
      </w:pPr>
      <w:r>
        <w:t>7.3. Документооборот ведётся посредством системы электронного документооборота (ЭДО) и (или) установленных каналов связи. Стороны признают юридическую силу документов и сообщений, переданных таким образом.</w:t>
      </w:r>
    </w:p>
    <w:p>
      <w:pPr>
        <w:spacing w:after="120" w:before="240" w:line="276"/>
      </w:pPr>
      <w:r>
        <w:rPr>
          <w:b/>
          <w:bCs/>
        </w:rPr>
        <w:t>8. ЗАВЕРЕНИЯ ОБ ОБСТОЯТЕЛЬСТВАХ (ст. 431.2 ГК РФ)</w:t>
      </w:r>
    </w:p>
    <w:p>
      <w:pPr>
        <w:spacing w:after="120" w:line="276"/>
        <w:jc w:val="both"/>
      </w:pPr>
      <w:r>
        <w:t>8.1. Принципал заверяет, что: обладает всеми правами и разрешениями на Объект и его эксплуатацию для оказания соответствующих услуг; Объект отвечает требованиям безопасности, санитарным и техническим нормам; сведения об Объектах и Слотах достоверны; он вправе заключить Договор.</w:t>
      </w:r>
    </w:p>
    <w:p>
      <w:pPr>
        <w:spacing w:after="120" w:line="276"/>
        <w:jc w:val="both"/>
      </w:pPr>
      <w:r>
        <w:t>8.2. Агент заверяет, что обладает правами на использование Платформы в объёме, необходимом для исполнения Договора, и вправе заключить Договор.</w:t>
      </w:r>
    </w:p>
    <w:p>
      <w:pPr>
        <w:spacing w:after="120" w:line="276"/>
        <w:jc w:val="both"/>
      </w:pPr>
      <w:r>
        <w:t>8.3. Сторона, предоставившая недостоверные заверения, обязана возместить другой Стороне причинённые этим убытки (ст. 431.2 ГК РФ).</w:t>
      </w:r>
    </w:p>
    <w:p>
      <w:pPr>
        <w:spacing w:after="120" w:before="240" w:line="276"/>
      </w:pPr>
      <w:r>
        <w:rPr>
          <w:b/>
          <w:bCs/>
        </w:rPr>
        <w:t>9. ПЕРСОНАЛЬНЫЕ ДАННЫЕ И КОНФИДЕНЦИАЛЬНОСТЬ</w:t>
      </w:r>
    </w:p>
    <w:p>
      <w:pPr>
        <w:spacing w:after="120" w:line="276"/>
        <w:jc w:val="both"/>
      </w:pPr>
      <w:r>
        <w:t>9.1. Каждая Сторона является самостоятельным оператором персональных данных в отношении данных, обрабатываемых ею в собственных целях. Агент обрабатывает персональные данные Пользователей как оператор на основании согласий, получаемых им при регистрации Пользователей на Платформе и (или) при оформлении Бронирования. Для исполнения Бронирования Агент передаёт Принципалу персональные данные Пользователей в объёме, необходимом и достаточном для предоставления Объекта (идентификация Бронирования и связь с Пользователем). Такая передача осуществляется на законном основании — с согласия Пользователя, получаемого Агентом, и (или) в связи с необходимостью исполнения договора, стороной (выгодоприобретателем) которого является Пользователь (п. 5 ч. 1 ст. 6 ФЗ-152). Принципал обрабатывает полученные персональные данные как самостоятельный оператор в своих целях (предоставление Объекта, исполнение требований законодательства) и несёт обязанности оператора, включая обеспечение законного основания дальнейшей обработки.</w:t>
      </w:r>
    </w:p>
    <w:p>
      <w:pPr>
        <w:spacing w:after="120" w:line="276"/>
        <w:jc w:val="both"/>
      </w:pPr>
      <w:r>
        <w:t>9.2. Стороны обеспечивают конфиденциальность и защиту персональных данных, принимают необходимые организационные и технические меры (ст. 18.1, 19 ФЗ-152). Запись, систематизация, накопление и хранение персональных данных граждан Российской Федерации осуществляются с использованием баз данных на территории Российской Федерации (ч. 5 ст. 18 ФЗ-152). Трансграничная передача осуществляется только при наличии законных оснований.</w:t>
      </w:r>
    </w:p>
    <w:p>
      <w:pPr>
        <w:spacing w:after="120" w:line="276"/>
        <w:jc w:val="both"/>
      </w:pPr>
      <w:r>
        <w:t>9.3. Конфиденциальной является любая непубличная информация, полученная в рамках Договора (данные Платформы, объёмы Бронирований, коммерческие условия, персональные данные). Стороны не разглашают её третьим лицам без письменного согласия другой Стороны, за исключением случаев, предусмотренных законом, в течение срока действия Договора и 3 (трёх) лет после его прекращения.</w:t>
      </w:r>
    </w:p>
    <w:p>
      <w:pPr>
        <w:spacing w:after="120" w:line="276"/>
        <w:jc w:val="both"/>
      </w:pPr>
      <w:r>
        <w:t>9.4. Не допускаются декомпиляция, дизассемблирование, копирование и иное несанкционированное использование Платформы и её компонентов.</w:t>
      </w:r>
    </w:p>
    <w:p>
      <w:pPr>
        <w:spacing w:after="120" w:before="240" w:line="276"/>
      </w:pPr>
      <w:r>
        <w:rPr>
          <w:b/>
          <w:bCs/>
        </w:rPr>
        <w:t>10. ОТВЕТСТВЕННОСТЬ СТОРОН</w:t>
      </w:r>
    </w:p>
    <w:p>
      <w:pPr>
        <w:spacing w:after="120" w:line="276"/>
        <w:jc w:val="both"/>
      </w:pPr>
      <w:r>
        <w:t>10.1. За неисполнение или ненадлежащее исполнение обязательств Стороны несут ответственность в соответствии с законодательством Российской Федерации и Договором.</w:t>
      </w:r>
    </w:p>
    <w:p>
      <w:pPr>
        <w:spacing w:after="120" w:line="276"/>
        <w:jc w:val="both"/>
      </w:pPr>
      <w:r>
        <w:t>10.2. Распределение ответственности. Агент как платформа-посредник не несёт ответственности за качество, безопасность и фактическое состояние Объекта, за исполнение Принципалом услуг Пользователям, за приём оплаты и возвраты Пользователям, а также за вред (включая вред жизни, здоровью и имуществу), причинённый Пользователям или третьим лицам в связи с использованием Объекта; такая ответственность лежит на Принципале. Принципал обязуется возместить Агенту документально подтверждённые убытки и оградить его от претензий третьих лиц (включая Пользователей и уполномоченные органы), связанных с состоянием и эксплуатацией Объекта, оказываемыми Принципалом услугами и приёмом оплаты.</w:t>
      </w:r>
    </w:p>
    <w:p>
      <w:pPr>
        <w:spacing w:after="120" w:line="276"/>
        <w:jc w:val="both"/>
      </w:pPr>
      <w:r>
        <w:t>10.3. За необеспечение возможности использования оплаченного и не отменённого в установленном порядке Слота (в том числе вследствие двойного бронирования, закрытия или недоступности Объекта) Принципал возмещает Агенту понесённые в связи с этим убытки и уплачивает штраф 5 000 (пять тысяч) руб. за каждый такой случай.</w:t>
      </w:r>
      <w:r>
        <w:rPr/>
      </w:r>
      <w:r/>
    </w:p>
    <w:p>
      <w:pPr>
        <w:spacing w:after="120" w:line="276"/>
        <w:jc w:val="both"/>
      </w:pPr>
      <w:r>
        <w:t>10.4. За нарушение запрета, установленного п. 4.3.6 Договора, Принципал уплачивает Агенту штраф 20 000 (двадцать тысяч) руб. за каждый выявленный случай.</w:t>
      </w:r>
      <w:r>
        <w:rPr/>
      </w:r>
      <w:r/>
    </w:p>
    <w:p>
      <w:pPr>
        <w:spacing w:after="120" w:line="276"/>
        <w:jc w:val="both"/>
      </w:pPr>
      <w:r>
        <w:t>10.5. Агент не несёт ответственности за перебои и ошибки в работе Платформы, вызванные сбоями связи, действиями провайдеров, плановыми работами или иными обстоятельствами вне его разумного контроля.</w:t>
      </w:r>
    </w:p>
    <w:p>
      <w:pPr>
        <w:spacing w:after="120" w:line="276"/>
        <w:jc w:val="both"/>
      </w:pPr>
      <w:r>
        <w:t>10.6. За просрочку выплаты Агентского вознаграждения Принципал уплачивает Агенту пеню в размере 0,1 % (ноль целых одна десятая процента) от своевременно не выплаченной суммы за каждый день просрочки.</w:t>
      </w:r>
    </w:p>
    <w:p>
      <w:pPr>
        <w:spacing w:after="120" w:line="276"/>
        <w:jc w:val="both"/>
      </w:pPr>
      <w:r>
        <w:t>10.7. Совокупная ответственность Агента по Договору ограничена суммой Агентского вознаграждения, полученного Агентом за 3 (три) месяца, предшествующих событию, повлёкшему ответственность, в той мере, в какой такое ограничение не противоречит законодательству Российской Федерации.</w:t>
      </w:r>
    </w:p>
    <w:p>
      <w:pPr>
        <w:spacing w:after="120" w:before="240" w:line="276"/>
      </w:pPr>
      <w:r>
        <w:rPr>
          <w:b/>
          <w:bCs/>
        </w:rPr>
        <w:t>11. ОБСТОЯТЕЛЬСТВА НЕПРЕОДОЛИМОЙ СИЛЫ</w:t>
      </w:r>
    </w:p>
    <w:p>
      <w:pPr>
        <w:spacing w:after="120" w:line="276"/>
        <w:jc w:val="both"/>
      </w:pPr>
      <w:r>
        <w:t>11.1. Стороны освобождаются от ответственности за полное или частичное неисполнение обязательств, если оно явилось следствием обстоятельств непреодолимой силы (стихийные бедствия, акты органов власти, военные действия, аварии сетей связи и энергоснабжения и иные подобные события), возникших после заключения Договора.</w:t>
      </w:r>
    </w:p>
    <w:p>
      <w:pPr>
        <w:spacing w:after="120" w:line="276"/>
        <w:jc w:val="both"/>
      </w:pPr>
      <w:r>
        <w:t>11.2. Сторона, для которой создалась невозможность исполнения, уведомляет другую Сторону в разумный срок. Если такие обстоятельства длятся более 30 (тридцати) календарных дней, любая из Сторон вправе потребовать расторжения Договора.</w:t>
      </w:r>
    </w:p>
    <w:p>
      <w:pPr>
        <w:spacing w:after="120" w:before="240" w:line="276"/>
      </w:pPr>
      <w:r>
        <w:rPr>
          <w:b/>
          <w:bCs/>
        </w:rPr>
        <w:t>12. СРОК ДЕЙСТВИЯ, ИЗМЕНЕНИЕ И РАСТОРЖЕНИЕ</w:t>
      </w:r>
    </w:p>
    <w:p>
      <w:pPr>
        <w:spacing w:after="120" w:line="276"/>
        <w:jc w:val="both"/>
      </w:pPr>
      <w:r>
        <w:t>12.1. Договор вступает в силу с момента акцепта Оферты Принципалом (раздел 2) и действует в течение 3 (трёх) лет. Если за 30 (тридцать) календарных дней до окончания срока ни одна из Сторон не уведомит другую об отказе от продления, Договор продлевается на каждый следующий год на тех же условиях. Финансовые обязательства Сторон сохраняются до их полного исполнения.</w:t>
      </w:r>
    </w:p>
    <w:p>
      <w:pPr>
        <w:spacing w:after="120" w:line="276"/>
        <w:jc w:val="both"/>
      </w:pPr>
      <w:r>
        <w:t>12.2. Агент вправе в одностороннем порядке изменять размер Агентского вознаграждения, уведомив Принципала не менее чем за 15 (пятнадцать) календарных дней до даты вступления изменений в силу (через Личный кабинет и (или) по адресу электронной почты Принципала). Новый размер применяется к Подтверждённым Бронированиям, совершённым после вступления изменений в силу. Принципал, не согласный с изменением, вправе до даты вступления изменений в силу отказаться от Договора в порядке п. 12.3 без какой-либо платы; до прекращения Договора применяется прежний размер вознаграждения. Продолжение использования Платформы после вступления изменений в силу считается согласием Принципала с новым размером Агентского вознаграждения. Иные изменения Договора осуществляются в порядке п. 2.5 Договора.</w:t>
      </w:r>
    </w:p>
    <w:p>
      <w:pPr>
        <w:spacing w:after="120" w:line="276"/>
        <w:jc w:val="both"/>
      </w:pPr>
      <w:r>
        <w:t>12.3. Каждая из Сторон вправе в любое время отказаться от исполнения Договора в одностороннем внесудебном порядке, письменно уведомив другую Сторону не менее чем за 30 (тридцать) календарных дней; плата за такой отказ не взимается. Агент вправе отказаться от исполнения Договора незамедлительно при существенном нарушении Принципалом условий Договора, его неплатёжеспособности или банкротстве.</w:t>
      </w:r>
    </w:p>
    <w:p>
      <w:pPr>
        <w:spacing w:after="120" w:line="276"/>
        <w:jc w:val="both"/>
      </w:pPr>
      <w:r>
        <w:t>12.4. При прекращении Договора Стороны проводят сверку расчётов; Принципал выплачивает Агенту причитающееся вознаграждение и иные причитающиеся Агенту суммы; доступ к Платформе и Личному кабинету прекращается. Принятые и оплаченные Бронирования исполняются либо оплата возвращается Пользователям Принципалом по Правилам отмены.</w:t>
      </w:r>
    </w:p>
    <w:p>
      <w:pPr>
        <w:spacing w:after="120" w:before="240" w:line="276"/>
      </w:pPr>
      <w:r>
        <w:rPr>
          <w:b/>
          <w:bCs/>
        </w:rPr>
        <w:t>13. ПРОЧИЕ ПОЛОЖЕНИЯ</w:t>
      </w:r>
    </w:p>
    <w:p>
      <w:pPr>
        <w:spacing w:after="120" w:line="276"/>
        <w:jc w:val="both"/>
      </w:pPr>
      <w:r>
        <w:t>13.1. Во всём, что не предусмотрено Договором, Стороны руководствуются законодательством Российской Федерации.</w:t>
      </w:r>
    </w:p>
    <w:p>
      <w:pPr>
        <w:spacing w:after="120" w:line="276"/>
        <w:jc w:val="both"/>
      </w:pPr>
      <w:r>
        <w:t>13.2. Споры разрешаются в досудебном претензионном порядке; срок ответа на претензию — 10 (десять) рабочих дней. При недостижении согласия спор подлежит рассмотрению в арбитражном суде по месту нахождения ответчика.</w:t>
      </w:r>
    </w:p>
    <w:p>
      <w:pPr>
        <w:spacing w:after="120" w:line="276"/>
        <w:jc w:val="both"/>
      </w:pPr>
      <w:r>
        <w:t>13.3. Уступка прав и обязанностей по Договору третьим лицам допускается с письменного согласия другой Стороны; Агент вправе уступать права и обязанности своим аффилированным лицам без согласия Принципала, уведомив его.</w:t>
      </w:r>
    </w:p>
    <w:p>
      <w:pPr>
        <w:jc w:val="both"/>
      </w:pPr>
      <w:r>
        <w:rPr>
          <w:b w:val="0"/>
        </w:rPr>
        <w:t>13.4. Договор заключается в электронной форме путём акцепта Оферты (ст. 428, 434, 438 ГК РФ) и не требует подписания Сторонами на бумажном носителе. По требованию любой из Сторон Договор может быть дополнительно оформлен на бумажном носителе в двух экземплярах либо подписан посредством ЭДО; такое оформление подтверждает условия ранее заключённого Договора и не изменяет дату его заключения.</w:t>
      </w:r>
    </w:p>
    <w:p>
      <w:pPr>
        <w:spacing w:after="120" w:line="276"/>
        <w:jc w:val="both"/>
      </w:pPr>
      <w:r>
        <w:t>13.5. Приложение № 1 «Тарифы и размер Агентского вознаграждения» является неотъемлемой частью Договора.</w:t>
      </w:r>
    </w:p>
    <w:p>
      <w:pPr>
        <w:spacing w:after="120" w:before="200"/>
        <w:jc w:val="center"/>
      </w:pPr>
      <w:r>
        <w:rPr>
          <w:b/>
          <w:bCs/>
        </w:rPr>
        <w:t xml:space="preserve">РЕКВИЗИТЫ И ПОДПИСИ СТОРОН</w:t>
      </w:r>
    </w:p>
    <w:tbl>
      <w:tblPr>
        <w:tblW w:type="dxa" w:w="9026"/>
        <w:tblBorders>
          <w:top w:val="single" w:color="808080" w:sz="2"/>
          <w:left w:val="single" w:color="808080" w:sz="2"/>
          <w:bottom w:val="single" w:color="808080" w:sz="2"/>
          <w:right w:val="single" w:color="808080" w:sz="2"/>
          <w:insideH w:val="single" w:color="808080" w:sz="2"/>
          <w:insideV w:val="single" w:color="808080" w:sz="2"/>
        </w:tblBorders>
      </w:tblPr>
      <w:tblGrid>
        <w:gridCol w:w="4513"/>
        <w:gridCol w:w="4513"/>
      </w:tblGrid>
      <w:tr>
        <w:tc>
          <w:tcPr>
            <w:tcW w:type="dxa" w:w="4513"/>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rPr>
                <w:b/>
                <w:bCs/>
              </w:rPr>
              <w:t xml:space="preserve">Агент: </w:t>
            </w:r>
            <w:r>
              <w:t xml:space="preserve">ООО «СМАРТ СПОРТ СИСТЕМЫ» («Playground»)</w:t>
            </w:r>
          </w:p>
          <w:p>
            <w:pPr>
              <w:spacing w:after="20" w:line="252"/>
              <w:jc w:val="left"/>
            </w:pPr>
            <w:r>
              <w:t xml:space="preserve">ОГРН 1267800040573</w:t>
            </w:r>
          </w:p>
          <w:p>
            <w:pPr>
              <w:spacing w:after="20" w:line="252"/>
              <w:jc w:val="left"/>
            </w:pPr>
            <w:r>
              <w:t xml:space="preserve">ИНН 7804721125</w:t>
            </w:r>
          </w:p>
          <w:p>
            <w:pPr>
              <w:spacing w:after="20" w:line="252"/>
              <w:jc w:val="left"/>
            </w:pPr>
            <w:r>
              <w:t xml:space="preserve">КПП 780401001</w:t>
            </w:r>
          </w:p>
          <w:p>
            <w:pPr>
              <w:spacing w:after="20" w:line="252"/>
              <w:jc w:val="left"/>
            </w:pPr>
            <w:r>
              <w:t xml:space="preserve">Адрес: 194064, г. Санкт-Петербург, вн.тер.г. муниципальный округ Академическое, пр-кт Тихорецкий, д. 15, корп. 1, литера А, помещ. 3Н</w:t>
            </w:r>
          </w:p>
          <w:p>
            <w:pPr>
              <w:spacing w:after="20" w:line="252"/>
              <w:jc w:val="left"/>
            </w:pPr>
            <w:r>
              <w:t xml:space="preserve">Р/с 40702810832410021086</w:t>
            </w:r>
          </w:p>
          <w:p>
            <w:pPr>
              <w:spacing w:after="20" w:line="252"/>
              <w:jc w:val="left"/>
            </w:pPr>
            <w:r>
              <w:t xml:space="preserve">Банк: Филиал «Санкт-Петербургский» АО «АЛЬФА-БАНК»</w:t>
            </w:r>
          </w:p>
          <w:p>
            <w:pPr>
              <w:spacing w:after="20" w:line="252"/>
              <w:jc w:val="left"/>
            </w:pPr>
            <w:r>
              <w:t xml:space="preserve">К/с 30101810600000000786</w:t>
            </w:r>
          </w:p>
          <w:p>
            <w:pPr>
              <w:spacing w:after="20" w:line="252"/>
              <w:jc w:val="left"/>
            </w:pPr>
            <w:r>
              <w:t xml:space="preserve">БИК 044030786</w:t>
            </w:r>
          </w:p>
          <w:p>
            <w:pPr>
              <w:spacing w:after="20" w:line="252"/>
              <w:jc w:val="left"/>
            </w:pPr>
            <w:r>
              <w:t xml:space="preserve">Эл. почта: info.playground@yandex.ru</w:t>
            </w:r>
          </w:p>
          <w:p>
            <w:pPr>
              <w:spacing w:after="20" w:line="252"/>
              <w:jc w:val="left"/>
            </w:pPr>
            <w:r>
              <w:t xml:space="preserve">Тел.: +7 (812) 556-33-05, +7 (981) 825-29-26</w:t>
            </w:r>
          </w:p>
          <w:p>
            <w:pPr>
              <w:spacing w:after="20" w:line="252"/>
              <w:jc w:val="left"/>
            </w:pPr>
            <w:r>
              <w:t xml:space="preserve"/>
            </w:r>
          </w:p>
          <w:p>
            <w:pPr>
              <w:spacing w:after="20" w:line="252"/>
              <w:jc w:val="left"/>
            </w:pPr>
            <w:r>
              <w:t xml:space="preserve">Генеральный директор ________________ / Сиверцев С. В. /</w:t>
            </w:r>
          </w:p>
        </w:tc>
        <w:tc>
          <w:tcPr>
            <w:tcW w:type="dxa" w:w="4513"/>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rPr>
                <w:b/>
                <w:bCs/>
              </w:rPr>
              <w:t>Принципал:</w:t>
            </w:r>
            <w:r/>
            <w:r>
              <w:rPr/>
            </w:r>
            <w:r/>
          </w:p>
          <w:p>
            <w:pPr>
              <w:spacing w:after="20" w:line="252"/>
              <w:jc w:val="left"/>
            </w:pPr>
            <w:r>
              <w:t>Сведения о Принципале (наименование, ОГРН/ОГРНИП, ИНН, адрес, банковские реквизиты, адрес электронной почты) указываются Принципалом в Личном кабинете при акцепте Оферты и являются неотъемлемой частью Договора (п. 2.4).</w:t>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p>
          <w:p>
            <w:pPr>
              <w:spacing w:after="20" w:line="252"/>
              <w:jc w:val="left"/>
            </w:pPr>
            <w:r>
              <w:rPr/>
            </w:r>
            <w:r/>
            <w:r>
              <w:rPr/>
            </w:r>
            <w:r/>
          </w:p>
        </w:tc>
      </w:tr>
    </w:tbl>
    <w:p>
      <w:r>
        <w:br w:type="page"/>
      </w:r>
    </w:p>
    <w:p>
      <w:pPr>
        <w:spacing w:after="100" w:line="276"/>
        <w:jc w:val="center"/>
      </w:pPr>
      <w:r>
        <w:rPr>
          <w:b/>
          <w:bCs/>
        </w:rPr>
        <w:t xml:space="preserve">Приложение № 1</w:t>
      </w:r>
    </w:p>
    <w:p>
      <w:pPr>
        <w:spacing w:after="120" w:line="276"/>
        <w:jc w:val="center"/>
      </w:pPr>
      <w:r>
        <w:t>к Агентскому договору-оферте (действующая редакция — на сайте playgroundpro.ru)</w:t>
      </w:r>
      <w:r>
        <w:rPr/>
      </w:r>
    </w:p>
    <w:p>
      <w:pPr>
        <w:spacing w:after="120" w:line="276"/>
        <w:jc w:val="center"/>
      </w:pPr>
      <w:r>
        <w:t>Редакция от «20» июля 2026 г.</w:t>
      </w:r>
      <w:r>
        <w:rPr/>
      </w:r>
      <w:r/>
      <w:r>
        <w:rPr/>
      </w:r>
      <w:r/>
    </w:p>
    <w:p>
      <w:pPr>
        <w:spacing w:after="0" w:line="240"/>
      </w:pPr>
    </w:p>
    <w:p>
      <w:pPr>
        <w:spacing w:after="100" w:line="276"/>
        <w:jc w:val="center"/>
      </w:pPr>
      <w:r>
        <w:rPr>
          <w:b/>
          <w:bCs/>
        </w:rPr>
        <w:t>ТАРИФЫ И РАЗМЕР АГЕНТСКОГО ВОЗНАГРАЖДЕНИЯ</w:t>
      </w:r>
    </w:p>
    <w:tbl>
      <w:tblPr>
        <w:tblW w:type="dxa" w:w="9026"/>
        <w:tblBorders>
          <w:top w:val="single" w:color="808080" w:sz="2"/>
          <w:left w:val="single" w:color="808080" w:sz="2"/>
          <w:bottom w:val="single" w:color="808080" w:sz="2"/>
          <w:right w:val="single" w:color="808080" w:sz="2"/>
          <w:insideH w:val="single" w:color="808080" w:sz="2"/>
          <w:insideV w:val="single" w:color="808080" w:sz="2"/>
        </w:tblBorders>
      </w:tblPr>
      <w:tblGrid>
        <w:gridCol w:w="2826"/>
        <w:gridCol w:w="6200"/>
      </w:tblGrid>
      <w:tr>
        <w:trPr>
          <w:tblHeader/>
        </w:trPr>
        <w:tc>
          <w:tcPr>
            <w:tcW w:type="dxa" w:w="2826"/>
            <w:tcBorders>
              <w:top w:val="single" w:color="808080" w:sz="2"/>
              <w:left w:val="single" w:color="808080" w:sz="2"/>
              <w:bottom w:val="single" w:color="808080" w:sz="2"/>
              <w:right w:val="single" w:color="808080" w:sz="2"/>
            </w:tcBorders>
            <w:shd w:fill="E8E8E8" w:color="auto" w:val="clear"/>
            <w:tcMar>
              <w:top w:type="dxa" w:w="60"/>
              <w:left w:type="dxa" w:w="120"/>
              <w:bottom w:type="dxa" w:w="60"/>
              <w:right w:type="dxa" w:w="120"/>
            </w:tcMar>
            <w:vAlign w:val="top"/>
          </w:tcPr>
          <w:p>
            <w:pPr>
              <w:spacing w:after="20" w:line="252"/>
              <w:jc w:val="left"/>
            </w:pPr>
            <w:r>
              <w:rPr>
                <w:b/>
                <w:bCs/>
              </w:rPr>
              <w:t xml:space="preserve">Параметр</w:t>
            </w:r>
          </w:p>
        </w:tc>
        <w:tc>
          <w:tcPr>
            <w:tcW w:type="dxa" w:w="6200"/>
            <w:tcBorders>
              <w:top w:val="single" w:color="808080" w:sz="2"/>
              <w:left w:val="single" w:color="808080" w:sz="2"/>
              <w:bottom w:val="single" w:color="808080" w:sz="2"/>
              <w:right w:val="single" w:color="808080" w:sz="2"/>
            </w:tcBorders>
            <w:shd w:fill="E8E8E8" w:color="auto" w:val="clear"/>
            <w:tcMar>
              <w:top w:type="dxa" w:w="60"/>
              <w:left w:type="dxa" w:w="120"/>
              <w:bottom w:type="dxa" w:w="60"/>
              <w:right w:type="dxa" w:w="120"/>
            </w:tcMar>
            <w:vAlign w:val="top"/>
          </w:tcPr>
          <w:p>
            <w:pPr>
              <w:spacing w:after="20" w:line="252"/>
              <w:jc w:val="left"/>
            </w:pPr>
            <w:r>
              <w:rPr>
                <w:b/>
                <w:bCs/>
              </w:rPr>
              <w:t xml:space="preserve">Значение</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Агентское вознаграждение</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50 (пятьдесят) рублей за каждое Подтверждённое Бронирование, независимо от числа Пользователей и Стоимости Слота</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Изменение вознаграждения</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Агент вправе изменить размер вознаграждения в одностороннем порядке, уведомив Принципала за 15 календарных дней; Принципал при несогласии вправе до вступления изменений в силу отказаться от Договора без платы</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Стоимость Слотов</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Устанавливается Принципалом самостоятельно в Личном кабинете</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Срок Договора</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3 (три) года с автопродлением на год; каждая из Сторон вправе отказаться от Договора, письменно уведомив другую не менее чем за 30 (тридцать) календарных дней</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Отчётный период</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Календарный месяц</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Срок выплаты вознаграждения Принципалом</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Ежемесячно, до 10 (десятого) числа месяца, следующего за Отчётным периодом</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Приём оплаты от Пользователей</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Принимает Принципал своими средствами (эквайринг / СБП / касса); Агент в приёме денежных средств не участвует</w:t>
            </w:r>
          </w:p>
        </w:tc>
      </w:tr>
      <w:tr>
        <w:tc>
          <w:tcPr>
            <w:tcW w:type="dxa" w:w="2826"/>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t xml:space="preserve">Особые условия</w:t>
            </w:r>
          </w:p>
        </w:tc>
        <w:tc>
          <w:tcPr>
            <w:tcW w:type="dxa" w:w="6200"/>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rPr/>
              <w:t xml:space="preserve">____________________________ (при наличии)</w:t>
            </w:r>
          </w:p>
        </w:tc>
      </w:tr>
    </w:tbl>
    <w:p>
      <w:pPr>
        <w:spacing w:after="0" w:line="240"/>
      </w:pPr>
    </w:p>
    <w:p>
      <w:pPr>
        <w:spacing w:after="120" w:line="276"/>
        <w:jc w:val="both"/>
      </w:pPr>
      <w:r>
        <w:t xml:space="preserve">1. Стоимость Слотов определяется Принципалом самостоятельно и может изменяться им в Личном кабинете без подписания дополнительного соглашения.</w:t>
      </w:r>
    </w:p>
    <w:p>
      <w:pPr>
        <w:spacing w:after="120" w:line="276"/>
        <w:jc w:val="both"/>
      </w:pPr>
      <w:r>
        <w:t>2. Оплату Стоимости Слотов принимает Принципал своими средствами; Агент в приёме денежных средств не участвует (раздел 6 Договора).</w:t>
      </w:r>
    </w:p>
    <w:p>
      <w:pPr>
        <w:spacing w:after="120" w:line="276"/>
        <w:jc w:val="both"/>
      </w:pPr>
      <w:r>
        <w:t>3. Размер Агентского вознаграждения изменяется в порядке п. 12.2 Договора.</w:t>
      </w:r>
    </w:p>
    <w:p>
      <w:pPr>
        <w:spacing w:after="0" w:line="240"/>
      </w:pPr>
    </w:p>
    <w:tbl>
      <w:tblPr>
        <w:tblW w:type="dxa" w:w="9026"/>
        <w:tblBorders>
          <w:top w:val="single" w:color="808080" w:sz="2"/>
          <w:left w:val="single" w:color="808080" w:sz="2"/>
          <w:bottom w:val="single" w:color="808080" w:sz="2"/>
          <w:right w:val="single" w:color="808080" w:sz="2"/>
          <w:insideH w:val="single" w:color="808080" w:sz="2"/>
          <w:insideV w:val="single" w:color="808080" w:sz="2"/>
        </w:tblBorders>
      </w:tblPr>
      <w:tblGrid>
        <w:gridCol w:w="4513"/>
        <w:gridCol w:w="4513"/>
      </w:tblGrid>
      <w:tr>
        <w:tc>
          <w:tcPr>
            <w:tcW w:type="dxa" w:w="4513"/>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rPr>
                <w:b/>
                <w:bCs/>
              </w:rPr>
              <w:t xml:space="preserve">Агент: </w:t>
            </w:r>
            <w:r>
              <w:t xml:space="preserve">ООО «СМАРТ СПОРТ СИСТЕМЫ» («Playground»)</w:t>
            </w:r>
          </w:p>
          <w:p>
            <w:pPr>
              <w:spacing w:after="20" w:line="252"/>
              <w:jc w:val="left"/>
            </w:pPr>
            <w:r>
              <w:t xml:space="preserve">ОГРН 1267800040573</w:t>
            </w:r>
          </w:p>
          <w:p>
            <w:pPr>
              <w:spacing w:after="20" w:line="252"/>
              <w:jc w:val="left"/>
            </w:pPr>
            <w:r>
              <w:t xml:space="preserve">ИНН 7804721125</w:t>
            </w:r>
          </w:p>
          <w:p>
            <w:pPr>
              <w:spacing w:after="20" w:line="252"/>
              <w:jc w:val="left"/>
            </w:pPr>
            <w:r>
              <w:t xml:space="preserve">КПП 780401001</w:t>
            </w:r>
          </w:p>
          <w:p>
            <w:pPr>
              <w:spacing w:after="20" w:line="252"/>
              <w:jc w:val="left"/>
            </w:pPr>
            <w:r>
              <w:t xml:space="preserve">Адрес: 194064, г. Санкт-Петербург, вн.тер.г. муниципальный округ Академическое, пр-кт Тихорецкий, д. 15, корп. 1, литера А, помещ. 3Н</w:t>
            </w:r>
          </w:p>
          <w:p>
            <w:pPr>
              <w:spacing w:after="20" w:line="252"/>
              <w:jc w:val="left"/>
            </w:pPr>
            <w:r>
              <w:t xml:space="preserve">Р/с 40702810832410021086</w:t>
            </w:r>
          </w:p>
          <w:p>
            <w:pPr>
              <w:spacing w:after="20" w:line="252"/>
              <w:jc w:val="left"/>
            </w:pPr>
            <w:r>
              <w:t xml:space="preserve">Банк: Филиал «Санкт-Петербургский» АО «АЛЬФА-БАНК»</w:t>
            </w:r>
          </w:p>
          <w:p>
            <w:pPr>
              <w:spacing w:after="20" w:line="252"/>
              <w:jc w:val="left"/>
            </w:pPr>
            <w:r>
              <w:t xml:space="preserve">К/с 30101810600000000786</w:t>
            </w:r>
          </w:p>
          <w:p>
            <w:pPr>
              <w:spacing w:after="20" w:line="252"/>
              <w:jc w:val="left"/>
            </w:pPr>
            <w:r>
              <w:t xml:space="preserve">БИК 044030786</w:t>
            </w:r>
          </w:p>
          <w:p>
            <w:pPr>
              <w:spacing w:after="20" w:line="252"/>
              <w:jc w:val="left"/>
            </w:pPr>
            <w:r>
              <w:t xml:space="preserve">Эл. почта: info.playground@yandex.ru</w:t>
            </w:r>
          </w:p>
          <w:p>
            <w:pPr>
              <w:spacing w:after="20" w:line="252"/>
              <w:jc w:val="left"/>
            </w:pPr>
            <w:r>
              <w:t xml:space="preserve">Тел.: +7 (812) 556-33-05, +7 (981) 825-29-26</w:t>
            </w:r>
          </w:p>
          <w:p>
            <w:pPr>
              <w:spacing w:after="20" w:line="252"/>
              <w:jc w:val="left"/>
            </w:pPr>
            <w:r>
              <w:t xml:space="preserve"/>
            </w:r>
          </w:p>
          <w:p>
            <w:pPr>
              <w:spacing w:after="20" w:line="252"/>
              <w:jc w:val="left"/>
            </w:pPr>
            <w:r>
              <w:t xml:space="preserve">Генеральный директор ________________ / Сиверцев С. В. /</w:t>
            </w:r>
          </w:p>
        </w:tc>
        <w:tc>
          <w:tcPr>
            <w:tcW w:type="dxa" w:w="4513"/>
            <w:tcBorders>
              <w:top w:val="single" w:color="808080" w:sz="2"/>
              <w:left w:val="single" w:color="808080" w:sz="2"/>
              <w:bottom w:val="single" w:color="808080" w:sz="2"/>
              <w:right w:val="single" w:color="808080" w:sz="2"/>
            </w:tcBorders>
            <w:tcMar>
              <w:top w:type="dxa" w:w="60"/>
              <w:left w:type="dxa" w:w="120"/>
              <w:bottom w:type="dxa" w:w="60"/>
              <w:right w:type="dxa" w:w="120"/>
            </w:tcMar>
            <w:vAlign w:val="top"/>
          </w:tcPr>
          <w:p>
            <w:pPr>
              <w:spacing w:after="20" w:line="252"/>
              <w:jc w:val="left"/>
            </w:pPr>
            <w:r>
              <w:rPr>
                <w:b/>
                <w:bCs/>
              </w:rPr>
              <w:t>Принципал:</w:t>
            </w:r>
            <w:r/>
            <w:r>
              <w:rPr/>
            </w:r>
            <w:r/>
          </w:p>
          <w:p>
            <w:pPr>
              <w:spacing w:after="20" w:line="252"/>
              <w:jc w:val="left"/>
            </w:pPr>
            <w:r>
              <w:t>Сведения о Принципале (наименование, ОГРН/ОГРНИП, ИНН, адрес, банковские реквизиты, адрес электронной почты) указываются Принципалом в Личном кабинете при акцепте Оферты и являются неотъемлемой частью Договора (п. 2.4).</w:t>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r>
              <w:rPr/>
            </w:r>
          </w:p>
          <w:p>
            <w:pPr>
              <w:spacing w:after="20" w:line="252"/>
              <w:jc w:val="left"/>
            </w:pPr>
            <w:r/>
          </w:p>
          <w:p>
            <w:pPr>
              <w:spacing w:after="20" w:line="252"/>
              <w:jc w:val="left"/>
            </w:pPr>
            <w:r>
              <w:rPr/>
            </w:r>
            <w:r/>
            <w:r>
              <w:rPr/>
            </w:r>
            <w:r/>
          </w:p>
        </w:tc>
      </w:tr>
    </w:tbl>
    <w:sectPr>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2026-06-18T15:52:44.855Z</dcterms:created>
  <dcterms:modified xsi:type="dcterms:W3CDTF">2026-06-18T15:52:44.855Z</dcterms:modified>
</cp:coreProperties>
</file>

<file path=docProps/custom.xml><?xml version="1.0" encoding="utf-8"?>
<Properties xmlns="http://schemas.openxmlformats.org/officeDocument/2006/custom-properties" xmlns:vt="http://schemas.openxmlformats.org/officeDocument/2006/docPropsVTypes"/>
</file>