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keepLines/>
        <w:spacing w:before="0" w:after="100" w:line="276" w:lineRule="auto"/>
        <w:jc w:val="center"/>
        <w:outlineLvl w:val="0"/>
      </w:pPr>
      <w:r>
        <w:rPr>
          <w:b/>
          <w:bCs/>
          <w:sz w:val="30"/>
          <w:szCs w:val="30"/>
        </w:rPr>
        <w:t xml:space="preserve">АГЕНТСКИЙ ДОГОВОР-ОФЕРТА ДЛЯ ВЛАДЕЛЬЦЕВ СПОРТИВНЫХ ОБЪЕКТОВ</w:t>
      </w:r>
    </w:p>
    <w:p>
      <w:pPr>
        <w:keepNext/>
        <w:keepLines/>
        <w:spacing w:before="0" w:after="200" w:line="276" w:lineRule="auto"/>
        <w:jc w:val="center"/>
      </w:pPr>
      <w:r>
        <w:rPr>
          <w:b/>
          <w:bCs/>
        </w:rPr>
        <w:t xml:space="preserve">Публичная оферта о заключении агентского договора</w:t>
      </w:r>
    </w:p>
    <w:p>
      <w:pPr>
        <w:spacing w:before="0" w:after="40" w:line="252" w:lineRule="auto"/>
        <w:jc w:val="center"/>
      </w:pPr>
      <w:r>
        <w:rPr>
          <w:sz w:val="22"/>
          <w:szCs w:val="22"/>
        </w:rPr>
        <w:t xml:space="preserve">Редакция № 1 от 25 августа 2026 г. Вступает в силу 1 сентября 2026 г. Размещена по адресу: https://app.playground-pro.ru/legal/agent-offer. Хэш текста (SHA-256) вычисляется автоматически при публикации.</w:t>
      </w:r>
    </w:p>
    <w:p>
      <w:pPr>
        <w:spacing w:before="0" w:after="40" w:line="252" w:lineRule="auto"/>
        <w:jc w:val="center"/>
      </w:pPr>
      <w:r>
        <w:rPr>
          <w:sz w:val="22"/>
          <w:szCs w:val="22"/>
        </w:rPr>
        <w:t xml:space="preserve">Прежняя редакция агентского договора-оферты от 20.07.2026 — в архиве: https://app.playground-pro.ru/legal/archive/agent-offer-2026-07-20.</w:t>
      </w:r>
    </w:p>
    <w:p>
      <w:pPr>
        <w:spacing w:before="200" w:after="120" w:line="276" w:lineRule="auto"/>
        <w:jc w:val="both"/>
      </w:pPr>
      <w:r>
        <w:t xml:space="preserve">ООО «СМАРТ СПОРТ СИСТЕМЫ» (ИНН 7804721125, ОГРН 1267800040573, адрес: 194064, г. Санкт-Петербург, вн.тер.г. муниципальный округ Академическое, пр-кт Тихорецкий, д. 15, корп. 1, литера А, помещ. 3Н), в лице генерального директора Сиверцева С. В., действующего на основании Устава, именуемое «Агент», в соответствии со ст. 435, 437 Гражданского кодекса РФ предлагает любому юридическому лицу или индивидуальному предпринимателю, отвечающему требованиям раздела 3, заключить агентский договор на изложенных ниже условиях. Акцепт совершается в порядке раздела 12 и равносилен заключению договора в письменной форме (п. 2, 3 ст. 434, п. 3 ст. 438 ГК РФ).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1. Термины</w:t>
      </w:r>
    </w:p>
    <w:p>
      <w:pPr>
        <w:spacing w:before="0" w:after="120" w:line="276" w:lineRule="auto"/>
        <w:jc w:val="both"/>
      </w:pPr>
      <w:r>
        <w:t xml:space="preserve">1.1. </w:t>
      </w:r>
      <w:r>
        <w:rPr>
          <w:b/>
          <w:bCs/>
        </w:rPr>
        <w:t xml:space="preserve">Платформа</w:t>
      </w:r>
      <w:r>
        <w:t xml:space="preserve"> — программно-аппаратный комплекс Агента (мобильное приложение и веб-сервисы Playground), включая ИИ-ассистента.</w:t>
      </w:r>
    </w:p>
    <w:p>
      <w:pPr>
        <w:spacing w:before="0" w:after="120" w:line="276" w:lineRule="auto"/>
        <w:jc w:val="both"/>
      </w:pPr>
      <w:r>
        <w:t xml:space="preserve">1.2. </w:t>
      </w:r>
      <w:r>
        <w:rPr>
          <w:b/>
          <w:bCs/>
        </w:rPr>
        <w:t xml:space="preserve">Принципал (Площадка)</w:t>
      </w:r>
      <w:r>
        <w:t xml:space="preserve"> — лицо, акцептовавшее настоящую Оферту и предоставляющее услуги спортивных объектов.</w:t>
      </w:r>
    </w:p>
    <w:p>
      <w:pPr>
        <w:spacing w:before="0" w:after="120" w:line="276" w:lineRule="auto"/>
        <w:jc w:val="both"/>
      </w:pPr>
      <w:r>
        <w:t xml:space="preserve">1.3. </w:t>
      </w:r>
      <w:r>
        <w:rPr>
          <w:b/>
          <w:bCs/>
        </w:rPr>
        <w:t xml:space="preserve">Объект</w:t>
      </w:r>
      <w:r>
        <w:t xml:space="preserve"> — спортивное сооружение (зал, корт, поле и т. п.), сведения о котором Принципал разместил в Кабинете.</w:t>
      </w:r>
    </w:p>
    <w:p>
      <w:pPr>
        <w:spacing w:before="0" w:after="120" w:line="276" w:lineRule="auto"/>
        <w:jc w:val="both"/>
      </w:pPr>
      <w:r>
        <w:t xml:space="preserve">1.4. </w:t>
      </w:r>
      <w:r>
        <w:rPr>
          <w:b/>
          <w:bCs/>
        </w:rPr>
        <w:t xml:space="preserve">Кабинет</w:t>
      </w:r>
      <w:r>
        <w:t xml:space="preserve"> — личный кабинет Принципала на Платформе.</w:t>
      </w:r>
    </w:p>
    <w:p>
      <w:pPr>
        <w:spacing w:before="0" w:after="120" w:line="276" w:lineRule="auto"/>
        <w:jc w:val="both"/>
      </w:pPr>
      <w:r>
        <w:t xml:space="preserve">1.5. </w:t>
      </w:r>
      <w:r>
        <w:rPr>
          <w:b/>
          <w:bCs/>
        </w:rPr>
        <w:t xml:space="preserve">Тариф</w:t>
      </w:r>
      <w:r>
        <w:t xml:space="preserve"> — стоимость пользования Объектом за интервал времени, установленная Принципалом в Кабинете. Тариф является единственным источником цены услуг Принципала.</w:t>
      </w:r>
    </w:p>
    <w:p>
      <w:pPr>
        <w:spacing w:before="0" w:after="120" w:line="276" w:lineRule="auto"/>
        <w:jc w:val="both"/>
      </w:pPr>
      <w:r>
        <w:t xml:space="preserve">1.6. </w:t>
      </w:r>
      <w:r>
        <w:rPr>
          <w:b/>
          <w:bCs/>
        </w:rPr>
        <w:t xml:space="preserve">Пользователь</w:t>
      </w:r>
      <w:r>
        <w:t xml:space="preserve"> — физическое лицо, использующее Платформу для участия в Играх.</w:t>
      </w:r>
    </w:p>
    <w:p>
      <w:pPr>
        <w:spacing w:before="0" w:after="120" w:line="276" w:lineRule="auto"/>
        <w:jc w:val="both"/>
      </w:pPr>
      <w:r>
        <w:t xml:space="preserve">1.7. </w:t>
      </w:r>
      <w:r>
        <w:rPr>
          <w:b/>
          <w:bCs/>
        </w:rPr>
        <w:t xml:space="preserve">Игра</w:t>
      </w:r>
      <w:r>
        <w:t xml:space="preserve"> — спортивное мероприятие Пользователей на Объекте в забронированный интервал.</w:t>
      </w:r>
    </w:p>
    <w:p>
      <w:pPr>
        <w:spacing w:before="0" w:after="120" w:line="276" w:lineRule="auto"/>
        <w:jc w:val="both"/>
      </w:pPr>
      <w:r>
        <w:t xml:space="preserve">1.8. </w:t>
      </w:r>
      <w:r>
        <w:rPr>
          <w:b/>
          <w:bCs/>
        </w:rPr>
        <w:t xml:space="preserve">Бронирование</w:t>
      </w:r>
      <w:r>
        <w:t xml:space="preserve"> — подтверждённая заявка на пользование Объектом в определённый интервал.</w:t>
      </w:r>
    </w:p>
    <w:p>
      <w:pPr>
        <w:spacing w:before="0" w:after="120" w:line="276" w:lineRule="auto"/>
        <w:jc w:val="both"/>
      </w:pPr>
      <w:r>
        <w:t xml:space="preserve">1.9. </w:t>
      </w:r>
      <w:r>
        <w:rPr>
          <w:b/>
          <w:bCs/>
        </w:rPr>
        <w:t xml:space="preserve">Собранные средства</w:t>
      </w:r>
      <w:r>
        <w:t xml:space="preserve"> — денежные средства, полученные Агентом от Пользователей в счёт оплаты участия в Игре на Объекте Принципала.</w:t>
      </w:r>
    </w:p>
    <w:p>
      <w:pPr>
        <w:spacing w:before="0" w:after="120" w:line="276" w:lineRule="auto"/>
        <w:jc w:val="both"/>
      </w:pPr>
      <w:r>
        <w:t xml:space="preserve">1.10. </w:t>
      </w:r>
      <w:r>
        <w:rPr>
          <w:b/>
          <w:bCs/>
        </w:rPr>
        <w:t xml:space="preserve">Вознаграждение Агента</w:t>
      </w:r>
      <w:r>
        <w:t xml:space="preserve"> — вознаграждение, определяемое по разделу 5.</w:t>
      </w:r>
    </w:p>
    <w:p>
      <w:pPr>
        <w:spacing w:before="0" w:after="120" w:line="276" w:lineRule="auto"/>
        <w:jc w:val="both"/>
      </w:pPr>
      <w:r>
        <w:t xml:space="preserve">1.11. </w:t>
      </w:r>
      <w:r>
        <w:rPr>
          <w:b/>
          <w:bCs/>
        </w:rPr>
        <w:t xml:space="preserve">Отчёт Агента</w:t>
      </w:r>
      <w:r>
        <w:t xml:space="preserve"> — отчёт по ст. 1008 ГК РФ (раздел 8).</w:t>
      </w:r>
    </w:p>
    <w:p>
      <w:pPr>
        <w:spacing w:before="0" w:after="120" w:line="276" w:lineRule="auto"/>
        <w:jc w:val="both"/>
      </w:pPr>
      <w:r>
        <w:t xml:space="preserve">1.12. </w:t>
      </w:r>
      <w:r>
        <w:rPr>
          <w:b/>
          <w:bCs/>
        </w:rPr>
        <w:t xml:space="preserve">ПЭП</w:t>
      </w:r>
      <w:r>
        <w:t xml:space="preserve"> — простая электронная подпись (ст. 5 Федерального закона от 06.04.2011 № 63-ФЗ).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2. Предмет договора</w:t>
      </w:r>
    </w:p>
    <w:p>
      <w:pPr>
        <w:spacing w:before="0" w:after="120" w:line="276" w:lineRule="auto"/>
        <w:jc w:val="both"/>
      </w:pPr>
      <w:r>
        <w:t xml:space="preserve">2.1. Принципал поручает, а Агент обязуется за вознаграждение совершать </w:t>
      </w:r>
      <w:r>
        <w:rPr>
          <w:b/>
          <w:bCs/>
        </w:rPr>
        <w:t xml:space="preserve">от имени и за счёт Принципала</w:t>
      </w:r>
      <w:r>
        <w:t xml:space="preserve"> комплекс юридических и фактических действий по привлечению клиентов и организации оказания Принципалом услуг:</w:t>
      </w:r>
    </w:p>
    <w:p>
      <w:pPr>
        <w:spacing w:before="0" w:after="60" w:line="276" w:lineRule="auto"/>
        <w:ind w:left="567"/>
        <w:jc w:val="both"/>
      </w:pPr>
      <w:r>
        <w:t xml:space="preserve">а) размещение на Платформе информации об Объектах, Тарифах и условиях Принципала;</w:t>
      </w:r>
    </w:p>
    <w:p>
      <w:pPr>
        <w:spacing w:before="0" w:after="60" w:line="276" w:lineRule="auto"/>
        <w:ind w:left="567"/>
        <w:jc w:val="both"/>
      </w:pPr>
      <w:r>
        <w:t xml:space="preserve">б) привлечение Пользователей и их информирование;</w:t>
      </w:r>
    </w:p>
    <w:p>
      <w:pPr>
        <w:spacing w:before="0" w:after="60" w:line="276" w:lineRule="auto"/>
        <w:ind w:left="567"/>
        <w:jc w:val="both"/>
      </w:pPr>
      <w:r>
        <w:t xml:space="preserve">в) приём заявок Пользователей и Бронирование интервалов по календарю доступности Принципала;</w:t>
      </w:r>
    </w:p>
    <w:p>
      <w:pPr>
        <w:spacing w:before="0" w:after="60" w:line="276" w:lineRule="auto"/>
        <w:ind w:left="567"/>
        <w:jc w:val="both"/>
      </w:pPr>
      <w:r>
        <w:t xml:space="preserve">г) обработку отмен и переносов по правилам Принципала (раздел 9);</w:t>
      </w:r>
    </w:p>
    <w:p>
      <w:pPr>
        <w:spacing w:before="0" w:after="120" w:line="276" w:lineRule="auto"/>
        <w:ind w:left="567"/>
        <w:jc w:val="both"/>
      </w:pPr>
      <w:r>
        <w:t xml:space="preserve">д) приём в интересах Принципала оплаты от Пользователей в безналичном порядке и перечисление её Принципалу за вычетом Вознаграждения Агента.</w:t>
      </w:r>
    </w:p>
    <w:p>
      <w:pPr>
        <w:spacing w:before="0" w:after="120" w:line="276" w:lineRule="auto"/>
        <w:jc w:val="both"/>
      </w:pPr>
      <w:r>
        <w:t xml:space="preserve">2.2. Приём оплаты (подп. «д» п. 2.1) является неотъемлемой частью единой комплексной агентской услуги и не образует самостоятельной услуги по приёму платежей; отдельная плата за приём оплаты не устанавливается и не взимается.</w:t>
      </w:r>
    </w:p>
    <w:p>
      <w:pPr>
        <w:spacing w:before="0" w:after="120" w:line="276" w:lineRule="auto"/>
        <w:jc w:val="both"/>
      </w:pPr>
      <w:r>
        <w:t xml:space="preserve">2.3. Все расчёты — исключительно безналичные, с привлечением кредитных организаций и операторов платёжной инфраструктуры. Агент не принимает наличные денежные средства, не осуществляет деятельность по приёму платежей физических лиц в значении Федерального закона от 03.06.2009 № 103-ФЗ (ч. 2 ст. 1 указанного закона), не является оператором по переводу денежных средств и не осуществляет перевод электронных денежных средств.</w:t>
      </w:r>
    </w:p>
    <w:p>
      <w:pPr>
        <w:spacing w:before="0" w:after="120" w:line="276" w:lineRule="auto"/>
        <w:jc w:val="both"/>
      </w:pPr>
      <w:r>
        <w:t xml:space="preserve">2.4. Агент действует от имени Принципала: права и обязанности по сделкам с Пользователями в части услуг Объекта возникают непосредственно у Принципала (абз. 3 п. 1 ст. 1005 ГК РФ). Исполнителем услуг Объекта перед Пользователем является Принципал.</w:t>
      </w:r>
    </w:p>
    <w:p>
      <w:pPr>
        <w:spacing w:before="0" w:after="120" w:line="276" w:lineRule="auto"/>
        <w:jc w:val="both"/>
      </w:pPr>
      <w:r>
        <w:t xml:space="preserve">2.5. Условия оказания услуг Пользователям определяются также Пользовательской офертой Агента (https://app.playground-pro.ru/legal/terms) и Правилами отмены (https://app.playground-pro.ru/legal/cancellation), с которыми Принципал ознакомлен.</w:t>
      </w:r>
    </w:p>
    <w:p>
      <w:pPr>
        <w:spacing w:before="0" w:after="120" w:line="276" w:lineRule="auto"/>
        <w:jc w:val="both"/>
      </w:pPr>
      <w:r>
        <w:t xml:space="preserve">2.6. Договор заключается в порядке раздела 12; журнал акцептов ведёт Агент.</w:t>
      </w:r>
    </w:p>
    <w:p>
      <w:pPr>
        <w:spacing w:before="0" w:after="120" w:line="276" w:lineRule="auto"/>
        <w:jc w:val="both"/>
      </w:pPr>
      <w:r>
        <w:t xml:space="preserve">2.7. </w:t>
      </w:r>
      <w:r>
        <w:rPr>
          <w:b/>
          <w:bCs/>
        </w:rPr>
        <w:t xml:space="preserve">Переходное положение.</w:t>
      </w:r>
      <w:r>
        <w:t xml:space="preserve"> Для Принципалов, акцептовавших редакцию агентского договора-оферты от 20.07.2026, настоящая редакция применяется с даты её повторного акцепта (раздел 12); до этой даты отношения Сторон регулируются редакцией от 20.07.2026. К Бронированиям, оплаченным Пользователями непосредственно Принципалу до даты повторного акцепта, применяется редакция от 20.07.2026 (архив: https://app.playground-pro.ru/legal/archive/agent-offer-2026-07-20).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3. Требования к Принципалу и заверения</w:t>
      </w:r>
    </w:p>
    <w:p>
      <w:pPr>
        <w:spacing w:before="0" w:after="120" w:line="276" w:lineRule="auto"/>
        <w:jc w:val="both"/>
      </w:pPr>
      <w:r>
        <w:t xml:space="preserve">3.1. Принципал заверяет (ст. 431.2 ГК РФ), что: является действующим юридическим лицом или индивидуальным предпринимателем; владеет Объектом на законном основании и вправе оказывать услуги; сведения, внесённые при акцепте и в Кабинет, достоверны; лицо, совершившее акцепт, уполномочено действовать от имени Принципала.</w:t>
      </w:r>
    </w:p>
    <w:p>
      <w:pPr>
        <w:spacing w:before="0" w:after="120" w:line="276" w:lineRule="auto"/>
        <w:jc w:val="both"/>
      </w:pPr>
      <w:r>
        <w:t xml:space="preserve">3.2. При недостоверности заверений Принципал возмещает Агенту убытки и суммы, выплаченные Агентом Пользователям в связи с такой недостоверностью.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4. Тарифы и календарь</w:t>
      </w:r>
    </w:p>
    <w:p>
      <w:pPr>
        <w:spacing w:before="0" w:after="120" w:line="276" w:lineRule="auto"/>
        <w:jc w:val="both"/>
      </w:pPr>
      <w:r>
        <w:t xml:space="preserve">4.1. Тарифы и календарь доступности ведёт Принципал в Кабинете и поддерживает их актуальность. Агент транслирует Тариф без изменений и не вправе изменять его.</w:t>
      </w:r>
    </w:p>
    <w:p>
      <w:pPr>
        <w:spacing w:before="0" w:after="120" w:line="276" w:lineRule="auto"/>
        <w:jc w:val="both"/>
      </w:pPr>
      <w:r>
        <w:t xml:space="preserve">4.2. Изменение Тарифа действует для Бронирований, совершённых после изменения; на подтверждённые Бронирования не влияет.</w:t>
      </w:r>
    </w:p>
    <w:p>
      <w:pPr>
        <w:spacing w:before="0" w:after="120" w:line="276" w:lineRule="auto"/>
        <w:jc w:val="both"/>
      </w:pPr>
      <w:r>
        <w:t xml:space="preserve">4.3. Убытки и возвраты Пользователям, вызванные ошибкой Тарифа или календаря по вине Принципала, относятся на счёт Принципала.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5. Стоимость участия и Вознаграждение Агента</w:t>
      </w:r>
    </w:p>
    <w:p>
      <w:pPr>
        <w:spacing w:before="0" w:after="120" w:line="276" w:lineRule="auto"/>
        <w:jc w:val="both"/>
      </w:pPr>
      <w:r>
        <w:t xml:space="preserve">5.1. Стоимость участия Пользователя в Игре формируется Платформой на основе Тарифа по формуле: Тариф соответствующего интервала, делённый на минимальный состав Игры, умноженный на коэффициент, устанавливаемый Платформой в пределах от 1,0 до 1,2. Итоговая стоимость участия отражается в карточке Игры до оплаты. Формирование стоимости участия не изменяет Тариф Принципала.</w:t>
      </w:r>
    </w:p>
    <w:p>
      <w:pPr>
        <w:spacing w:before="0" w:after="120" w:line="276" w:lineRule="auto"/>
        <w:jc w:val="both"/>
      </w:pPr>
      <w:r>
        <w:t xml:space="preserve">5.2. </w:t>
      </w:r>
      <w:r>
        <w:rPr>
          <w:b/>
          <w:bCs/>
        </w:rPr>
        <w:t xml:space="preserve">Вознаграждение Агента</w:t>
      </w:r>
      <w:r>
        <w:t xml:space="preserve"> за отчётный период равно положительной разнице между Собранными средствами по Бронированиям Принципала и суммой Тарифов по этим Бронированиям. Стороны прямо согласовали, что вся дополнительная выгода от реализации мест сверх минимального состава Игры и применения коэффициента по п. 5.1 относится к Вознаграждению Агента в полном объёме (ст. 421, 1006, 1011 ГК РФ).</w:t>
      </w:r>
    </w:p>
    <w:p>
      <w:pPr>
        <w:spacing w:before="0" w:after="120" w:line="276" w:lineRule="auto"/>
        <w:jc w:val="both"/>
      </w:pPr>
      <w:r>
        <w:t xml:space="preserve">5.3. Вознаграждение удерживается Агентом из Собранных средств при перечислении (ст. 997, 1011 ГК РФ). Если Бронирование не состоялось и оплата Принципалу не причитается, Вознаграждение по нему не начисляется.</w:t>
      </w:r>
    </w:p>
    <w:p>
      <w:pPr>
        <w:spacing w:before="0" w:after="120" w:line="276" w:lineRule="auto"/>
        <w:jc w:val="both"/>
      </w:pPr>
      <w:r>
        <w:t xml:space="preserve">5.4. Вознаграждение НДС не облагается в связи с применением Агентом упрощённой системы налогообложения. При возникновении у Агента обязанности исчислять НДС Вознаграждение увеличивается на сумму НДС по применимой ставке, о чём Агент уведомляет Принципала через Кабинет.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6. Порядок расчётов</w:t>
      </w:r>
    </w:p>
    <w:p>
      <w:pPr>
        <w:spacing w:before="0" w:after="120" w:line="276" w:lineRule="auto"/>
        <w:jc w:val="both"/>
      </w:pPr>
      <w:r>
        <w:t xml:space="preserve">6.1. Собранные средства до перечисления Принципалу учитываются Агентом обособленно и не являются собственными средствами Агента.</w:t>
      </w:r>
    </w:p>
    <w:p>
      <w:pPr>
        <w:spacing w:before="0" w:after="120" w:line="276" w:lineRule="auto"/>
        <w:jc w:val="both"/>
      </w:pPr>
      <w:r>
        <w:t xml:space="preserve">6.2. Перечисления производятся еженедельно, не позднее третьего рабочего дня календарной недели, следующей за неделей проведения Игр, — по Играм, проведённым в предыдущую календарную неделю, платёжными поручениями на счёт Принципала, указанный в Кабинете.</w:t>
      </w:r>
    </w:p>
    <w:p>
      <w:pPr>
        <w:spacing w:before="0" w:after="120" w:line="276" w:lineRule="auto"/>
        <w:jc w:val="both"/>
      </w:pPr>
      <w:r>
        <w:t xml:space="preserve">6.3. Назначение платежа: «Перечисление по агентскому договору-оферте от 25.08.2026, отчёт агента № {N}, брони {ID}, за вычетом вознаграждения агента {сумма} руб. НДС не облагается».</w:t>
      </w:r>
    </w:p>
    <w:p>
      <w:pPr>
        <w:spacing w:before="0" w:after="120" w:line="276" w:lineRule="auto"/>
        <w:jc w:val="both"/>
      </w:pPr>
      <w:r>
        <w:t xml:space="preserve">6.4. Из перечислений могут удерживаться: суммы возвратов Пользователям, производимых за счёт Принципала (раздел 9), а также суммы, предусмотренные п. 3.2 и п. 10.3.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7. Кассовые чеки</w:t>
      </w:r>
    </w:p>
    <w:p>
      <w:pPr>
        <w:spacing w:before="0" w:after="120" w:line="276" w:lineRule="auto"/>
        <w:jc w:val="both"/>
      </w:pPr>
      <w:r>
        <w:t xml:space="preserve">7.1. Расчёты с Пользователями осуществляет Агент как лицо, участвующее в расчётах, с применением собственной контрольно-кассовой техники (Федеральный закон от 22.05.2003 № 54-ФЗ). В кассовом чеке услуги Объекта отражаются с признаком агента и указанием Принципала как поставщика (наименование, ИНН, телефон).</w:t>
      </w:r>
    </w:p>
    <w:p>
      <w:pPr>
        <w:spacing w:before="0" w:after="120" w:line="276" w:lineRule="auto"/>
        <w:jc w:val="both"/>
      </w:pPr>
      <w:r>
        <w:t xml:space="preserve">7.2. Принципал по расчётам, проведённым через Агента, повторный кассовый чек не формирует и обязуется не выдавать Пользователям собственные чеки по таким расчётам.</w:t>
      </w:r>
    </w:p>
    <w:p>
      <w:pPr>
        <w:spacing w:before="0" w:after="120" w:line="276" w:lineRule="auto"/>
        <w:jc w:val="both"/>
      </w:pPr>
      <w:r>
        <w:t xml:space="preserve">7.3. Принципал предоставляет и поддерживает актуальными реквизиты для чеков: полное наименование, ИНН, телефон.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8. Отчёты Агента</w:t>
      </w:r>
    </w:p>
    <w:p>
      <w:pPr>
        <w:spacing w:before="0" w:after="120" w:line="276" w:lineRule="auto"/>
        <w:jc w:val="both"/>
      </w:pPr>
      <w:r>
        <w:t xml:space="preserve">8.1. К каждому еженедельному перечислению (п. 6.2) Агент формирует Отчёт Агента за соответствующую неделю: перечень Бронирований (дата, Объект, Тариф, Собранные средства), Вознаграждение, суммы возвратов, итог к перечислению, реквизиты платежей. Не позднее 5-го числа месяца, следующего за отчётным, формируется сводный Отчёт за месяц.</w:t>
      </w:r>
    </w:p>
    <w:p>
      <w:pPr>
        <w:spacing w:before="0" w:after="120" w:line="276" w:lineRule="auto"/>
        <w:jc w:val="both"/>
      </w:pPr>
      <w:r>
        <w:t xml:space="preserve">8.2. Отчёты направляются на e-mail Принципала и размещаются в Кабинете. Отчёт считается принятым, если в течение 30 календарных дней с направления Принципал не заявил мотивированных возражений (п. 3 ст. 1008 ГК РФ).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9. Отмены, переносы, возвраты</w:t>
      </w:r>
    </w:p>
    <w:p>
      <w:pPr>
        <w:spacing w:before="0" w:after="120" w:line="276" w:lineRule="auto"/>
        <w:jc w:val="both"/>
      </w:pPr>
      <w:r>
        <w:t xml:space="preserve">9.1. Принципал публикует в Кабинете условия отмены и переноса Бронирований, включая невозвратные интервалы и сроки бесплатной отмены, и поддерживает их актуальность. Эти условия раскрываются Пользователям в карточке Игры до оплаты.</w:t>
      </w:r>
    </w:p>
    <w:p>
      <w:pPr>
        <w:spacing w:before="0" w:after="120" w:line="276" w:lineRule="auto"/>
        <w:jc w:val="both"/>
      </w:pPr>
      <w:r>
        <w:t xml:space="preserve">9.2. Возвраты Пользователям осуществляет Агент в соответствии с законодательством о защите прав потребителей, условиями Принципала по п. 9.1 и Правилами отмены; суммы возвратов, относящиеся к услугам Принципала, производятся за счёт Принципала.</w:t>
      </w:r>
    </w:p>
    <w:p>
      <w:pPr>
        <w:spacing w:before="0" w:after="120" w:line="276" w:lineRule="auto"/>
        <w:jc w:val="both"/>
      </w:pPr>
      <w:r>
        <w:t xml:space="preserve">9.3. При отмене Бронирования по обстоятельствам на стороне Принципала (недоступность Объекта, двойное бронирование, непригодность Объекта и т. п.) Принципал возвращает полученное по такому Бронированию и возмещает документально подтверждённые суммы, выплаченные Агентом Пользователям в связи с отменой.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10. Ответственность</w:t>
      </w:r>
    </w:p>
    <w:p>
      <w:pPr>
        <w:spacing w:before="0" w:after="120" w:line="276" w:lineRule="auto"/>
        <w:jc w:val="both"/>
      </w:pPr>
      <w:r>
        <w:t xml:space="preserve">10.1. Принципал как исполнитель отвечает перед Пользователями за качество и безопасность услуг Объекта (Закон РФ от 07.02.1992 № 2300-1 «О защите прав потребителей»). Агент является владельцем агрегатора информации об услугах и отвечает в пределах, установленных ст. 9, 12 указанного Закона.</w:t>
      </w:r>
    </w:p>
    <w:p>
      <w:pPr>
        <w:spacing w:before="0" w:after="120" w:line="276" w:lineRule="auto"/>
        <w:jc w:val="both"/>
      </w:pPr>
      <w:r>
        <w:t xml:space="preserve">10.2. Каждая сторона отвечает за достоверность предоставленных ею сведений.</w:t>
      </w:r>
    </w:p>
    <w:p>
      <w:pPr>
        <w:spacing w:before="0" w:after="120" w:line="276" w:lineRule="auto"/>
        <w:jc w:val="both"/>
      </w:pPr>
      <w:r>
        <w:t xml:space="preserve">10.3. Суммы неустоек, штрафов и компенсаций, выплаченные Агентом потребителям вследствие нарушений Принципала, возмещаются Принципалом и могут удерживаться из перечислений.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11. Персональные данные</w:t>
      </w:r>
    </w:p>
    <w:p>
      <w:pPr>
        <w:spacing w:before="0" w:after="120" w:line="276" w:lineRule="auto"/>
        <w:jc w:val="both"/>
      </w:pPr>
      <w:r>
        <w:t xml:space="preserve">11.1. Стороны обрабатывают персональные данные Пользователей в соответствии с законодательством РФ. Условия обработки на стороне Агента определены Политикой обработки персональных данных: https://app.playground-pro.ru/legal/privacy. Объём и условия передачи данных Принципалу определяются Приложением № 2 к настоящей Оферте.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12. Акцепт (заключение договора)</w:t>
      </w:r>
    </w:p>
    <w:p>
      <w:pPr>
        <w:spacing w:before="0" w:after="120" w:line="276" w:lineRule="auto"/>
        <w:jc w:val="both"/>
      </w:pPr>
      <w:r>
        <w:t xml:space="preserve">12.1. Акцепт совершается уполномоченным представителем Принципала в Кабинете либо по персональной ссылке путём последовательного совершения действий: (1) указание ИНН/ОГРН Принципала, фамилии, имени, отчества и основания полномочий подписанта; (2) проставление отметки о согласии с условиями Оферты; (3) ввод кода подтверждения, направленного на указанный телефон или e-mail. Совокупность действий (1)–(3) является простой электронной подписью Принципала; стороны признают документы, подписанные ПЭП, равнозначными документам, подписанным собственноручной подписью (п. 2 ст. 6 Федерального закона № 63-ФЗ, п. 2 ст. 434 ГК РФ).</w:t>
      </w:r>
    </w:p>
    <w:p>
      <w:pPr>
        <w:spacing w:before="0" w:after="120" w:line="276" w:lineRule="auto"/>
        <w:jc w:val="both"/>
      </w:pPr>
      <w:r>
        <w:t xml:space="preserve">12.2. Договор считается заключённым с момента успешного ввода кода подтверждения. Агент фиксирует: ИНН/ОГРН, данные подписанта, дату и время (UTC), канал и адресат направления кода, дату редакции и хэш Оферты, IP-адрес, user-agent. Журнал фиксации является достаточным доказательством факта и условий акцепта. Повторный акцепт настоящей редакции Принципалом, ранее акцептовавшим редакцию от 20.07.2026, означает соглашение Сторон об изложении договора в настоящей редакции (п. 1 ст. 450 ГК РФ) с даты повторного акцепта.</w:t>
      </w:r>
    </w:p>
    <w:p>
      <w:pPr>
        <w:spacing w:before="0" w:after="120" w:line="276" w:lineRule="auto"/>
        <w:jc w:val="both"/>
      </w:pPr>
      <w:r>
        <w:t xml:space="preserve">12.3. Принципал обеспечивает конфиденциальность доступа к Кабинету и кодам подтверждения; действия, совершённые с использованием его учётных данных, считаются совершёнными Принципалом.</w:t>
      </w:r>
    </w:p>
    <w:p>
      <w:pPr>
        <w:spacing w:before="0" w:after="120" w:line="276" w:lineRule="auto"/>
        <w:jc w:val="both"/>
      </w:pPr>
      <w:r>
        <w:t xml:space="preserve">12.4. Бронирования по Объектам Принципала в порядке настоящей редакции доступны только после её акцепта. Отношения по операциям, совершённым до акцепта, настоящей редакцией не регулируются (п. 2.7).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13. Изменение Оферты</w:t>
      </w:r>
    </w:p>
    <w:p>
      <w:pPr>
        <w:spacing w:before="0" w:after="120" w:line="276" w:lineRule="auto"/>
        <w:jc w:val="both"/>
      </w:pPr>
      <w:r>
        <w:t xml:space="preserve">13.1. Агент вправе изменять Оферту, уведомив Принципала через Кабинет и по e-mail не менее чем за 15 календарных дней до вступления новой редакции в силу.</w:t>
      </w:r>
    </w:p>
    <w:p>
      <w:pPr>
        <w:spacing w:before="0" w:after="120" w:line="276" w:lineRule="auto"/>
        <w:jc w:val="both"/>
      </w:pPr>
      <w:r>
        <w:t xml:space="preserve">13.2. С даты вступления новой редакции в силу приём новых Бронирований по Объектам Принципала возможен после подтверждения Принципалом новой редакции в Кабинете (повторный акцепт ПЭП в порядке раздела 12). Ранее подтверждённые Бронирования исполняются на условиях прежней редакции.</w:t>
      </w:r>
    </w:p>
    <w:p>
      <w:pPr>
        <w:spacing w:before="0" w:after="120" w:line="276" w:lineRule="auto"/>
        <w:jc w:val="both"/>
      </w:pPr>
      <w:r>
        <w:t xml:space="preserve">13.3. До акцепта новой редакции приём новых Бронирований приостанавливается; в остальной части отношения сторон продолжают регулироваться прежней редакцией.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14. Срок и прекращение</w:t>
      </w:r>
    </w:p>
    <w:p>
      <w:pPr>
        <w:spacing w:before="0" w:after="120" w:line="276" w:lineRule="auto"/>
        <w:jc w:val="both"/>
      </w:pPr>
      <w:r>
        <w:t xml:space="preserve">14.1. Договор действует бессрочно. Любая сторона вправе отказаться от договора, уведомив другую сторону за 14 календарных дней.</w:t>
      </w:r>
    </w:p>
    <w:p>
      <w:pPr>
        <w:spacing w:before="0" w:after="120" w:line="276" w:lineRule="auto"/>
        <w:jc w:val="both"/>
      </w:pPr>
      <w:r>
        <w:t xml:space="preserve">14.2. При прекращении договора стороны завершают расчёты по подтверждённым Бронированиям; Агент направляет итоговый Отчёт.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15. Споры</w:t>
      </w:r>
    </w:p>
    <w:p>
      <w:pPr>
        <w:spacing w:before="0" w:after="120" w:line="276" w:lineRule="auto"/>
        <w:jc w:val="both"/>
      </w:pPr>
      <w:r>
        <w:t xml:space="preserve">15.1. Обязательный досудебный порядок: претензия направляется через Кабинет или на info.playground@yandex.ru; срок ответа — 15 календарных дней. Порядок рассмотрения обращений партнёров: https://app.playground-pro.ru/legal/partner-claims (до публикации указанного порядка претензии направляются по названным каналам).</w:t>
      </w:r>
    </w:p>
    <w:p>
      <w:pPr>
        <w:spacing w:before="0" w:after="120" w:line="276" w:lineRule="auto"/>
        <w:jc w:val="both"/>
      </w:pPr>
      <w:r>
        <w:t xml:space="preserve">15.2. При недостижении согласия спор передаётся в Арбитражный суд города Санкт-Петербурга и Ленинградской области.</w:t>
      </w:r>
    </w:p>
    <w:p>
      <w:pPr>
        <w:keepNext/>
        <w:keepLines/>
        <w:spacing w:before="240" w:after="120" w:line="276" w:lineRule="auto"/>
        <w:jc w:val="left"/>
        <w:outlineLvl w:val="1"/>
      </w:pPr>
      <w:r>
        <w:rPr>
          <w:b/>
          <w:bCs/>
          <w:caps/>
        </w:rPr>
        <w:t xml:space="preserve">16. Реквизиты Агента</w:t>
      </w:r>
    </w:p>
    <w:p>
      <w:pPr>
        <w:spacing w:before="0" w:after="40" w:line="264" w:lineRule="auto"/>
        <w:jc w:val="left"/>
      </w:pPr>
      <w:r>
        <w:t xml:space="preserve">ООО «СМАРТ СПОРТ СИСТЕМЫ». ОГРН 1267800040573. ИНН 7804721125. КПП 780401001.</w:t>
      </w:r>
    </w:p>
    <w:p>
      <w:pPr>
        <w:spacing w:before="0" w:after="40" w:line="264" w:lineRule="auto"/>
        <w:jc w:val="left"/>
      </w:pPr>
      <w:r>
        <w:t xml:space="preserve">Адрес: 194064, г. Санкт-Петербург, вн.тер.г. муниципальный округ Академическое, пр-кт Тихорецкий, д. 15, корп. 1, литера А, помещ. 3Н.</w:t>
      </w:r>
    </w:p>
    <w:p>
      <w:pPr>
        <w:spacing w:before="0" w:after="40" w:line="264" w:lineRule="auto"/>
        <w:jc w:val="left"/>
      </w:pPr>
      <w:r>
        <w:t xml:space="preserve">Р/с 40702810832410021086 в Филиале «Санкт-Петербургский» АО «Альфа-Банк», к/с 30101810600000000786, БИК 044030786.</w:t>
      </w:r>
    </w:p>
    <w:p>
      <w:pPr>
        <w:spacing w:before="0" w:after="40" w:line="264" w:lineRule="auto"/>
        <w:jc w:val="left"/>
      </w:pPr>
      <w:r>
        <w:t xml:space="preserve">E-mail: info.playground@yandex.ru. Телефон: +7 (812) 556-33-05.</w:t>
      </w:r>
    </w:p>
    <w:p>
      <w:pPr>
        <w:spacing w:before="0" w:after="40" w:line="264" w:lineRule="auto"/>
        <w:jc w:val="left"/>
      </w:pPr>
      <w:r>
        <w:t xml:space="preserve">Генеральный директор — Сиверцев С. В.</w:t>
      </w:r>
    </w:p>
    <w:p>
      <w:pPr>
        <w:spacing w:before="240" w:after="120" w:line="276" w:lineRule="auto"/>
        <w:jc w:val="both"/>
      </w:pPr>
      <w:r>
        <w:rPr>
          <w:b/>
          <w:bCs/>
        </w:rPr>
        <w:t xml:space="preserve">Приложение № 1. Форма Отчёта Агента:</w:t>
      </w:r>
      <w:r>
        <w:t xml:space="preserve"> отчётный период; Принципал; таблица Бронирований (ID, дата и время, Объект, Тариф, Собранные средства, Вознаграждение, Возвраты); итого к перечислению; платёжные реквизиты; указание на порядок возражений (п. 8.2).</w:t>
      </w:r>
    </w:p>
    <w:p>
      <w:pPr>
        <w:spacing w:before="240" w:after="120" w:line="276" w:lineRule="auto"/>
        <w:jc w:val="both"/>
      </w:pPr>
      <w:r>
        <w:rPr>
          <w:b/>
          <w:bCs/>
        </w:rPr>
        <w:t xml:space="preserve">Приложение № 2. Условия передачи персональных данных Принципалу:</w:t>
      </w:r>
      <w:r>
        <w:t xml:space="preserve"> состав передаваемых данных — идентификатор Бронирования, состав участников в объёме, разрешённом Пользователями к распространению, контакт для связи по Бронированию; цель — исполнение Бронирования; Принципал обрабатывает полученные данные как самостоятельный оператор (ст. 6 Закона № 152-ФЗ) и не вправе использовать их для иных целей, включая маркетинг, без самостоятельного правового основания. Состав соответствует п. 10.2(а) Политики обработки персональных данных Агента.</w:t>
      </w:r>
    </w:p>
    <w:sectPr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</w:font>
</w:fonts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widowControl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Агентский договор-оферта для владельцев спортивных объектов (ред. № 1 от 25.08.2026)</dc:title>
  <dc:creator>Playground</dc:creator>
  <cp:lastModifiedBy>Playground</cp:lastModifiedBy>
  <dc:language>ru-RU</dc:language>
  <cp:revision>1</cp:revision>
  <dcterms:created xsi:type="dcterms:W3CDTF">2026-09-25T12:00:00Z</dcterms:created>
  <dcterms:modified xsi:type="dcterms:W3CDTF">2026-09-25T12:00:00Z</dcterms:modified>
</cp:coreProperties>
</file>